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MAEDR Batch 2 — Post-Approval Reconciliation</w:t>
      </w:r>
    </w:p>
    <w:p>
      <w:pPr>
        <w:jc w:val="center"/>
      </w:pPr>
      <w:r>
        <w:rPr>
          <w:i/>
          <w:sz w:val="22"/>
        </w:rPr>
        <w:t>RUMAHAGEN Governance Artifact — v1.1</w:t>
      </w:r>
    </w:p>
    <w:p>
      <w:pPr>
        <w:jc w:val="center"/>
      </w:pPr>
      <w:r>
        <w:rPr>
          <w:b/>
        </w:rPr>
        <w:t>UPDATED AFTER ARB-09 / MADCR-003 APPROVAL</w:t>
      </w:r>
    </w:p>
    <w:p>
      <w:pPr>
        <w:pStyle w:val="Heading1"/>
      </w:pPr>
      <w:r>
        <w:t>1. Purpose</w:t>
      </w:r>
    </w:p>
    <w:p>
      <w:r>
        <w:t>This reconciliation records the formal ARB-09 approval of MADCR-003 and updates the Batch-2 downstream Payment architecture baseline.</w:t>
      </w:r>
    </w:p>
    <w:p>
      <w:r>
        <w:t>It does not modify Batch-1 governance and does not authorize downstream implementation details.</w:t>
      </w:r>
    </w:p>
    <w:p>
      <w:pPr>
        <w:pStyle w:val="Heading1"/>
      </w:pPr>
      <w:r>
        <w:t>2. Current Governing Payment Chain</w:t>
      </w:r>
    </w:p>
    <w:p>
      <w:pPr>
        <w:spacing w:after="80"/>
      </w:pPr>
      <w:r>
        <w:rPr>
          <w:b/>
        </w:rPr>
        <w:t xml:space="preserve">• </w:t>
      </w:r>
      <w:r>
        <w:t>MADCR-011 — APPROVED / GOVERNING: Payment is a Commercial (M14) subdomain.</w:t>
      </w:r>
    </w:p>
    <w:p>
      <w:pPr>
        <w:spacing w:after="80"/>
      </w:pPr>
      <w:r>
        <w:rPr>
          <w:b/>
        </w:rPr>
        <w:t xml:space="preserve">• </w:t>
      </w:r>
      <w:r>
        <w:t>MADCR-002 — APPROVED / GOVERNING: Provider Adapter Architecture.</w:t>
      </w:r>
    </w:p>
    <w:p>
      <w:pPr>
        <w:spacing w:after="80"/>
      </w:pPr>
      <w:r>
        <w:rPr>
          <w:b/>
        </w:rPr>
        <w:t xml:space="preserve">• </w:t>
      </w:r>
      <w:r>
        <w:t>MADCR-003 — APPROVED / GOVERNING: Verified payment confirmation and idempotent fulfillment.</w:t>
      </w:r>
    </w:p>
    <w:p>
      <w:pPr>
        <w:pStyle w:val="Heading1"/>
      </w:pPr>
      <w:r>
        <w:t>3. Batch-2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Reconciliation Result</w:t>
            </w:r>
          </w:p>
        </w:tc>
        <w:tc>
          <w:tcPr>
            <w:tcW w:type="dxa" w:w="2160"/>
          </w:tcPr>
          <w:p>
            <w:r>
              <w:t>Next Action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MADCR-011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Prerequisite remains governing</w:t>
            </w:r>
          </w:p>
        </w:tc>
        <w:tc>
          <w:tcPr>
            <w:tcW w:type="dxa" w:w="2160"/>
            <w:vAlign w:val="top"/>
          </w:tcPr>
          <w:p>
            <w:r>
              <w:t>None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MADCR-002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Provider adapter boundary remains governing</w:t>
            </w:r>
          </w:p>
        </w:tc>
        <w:tc>
          <w:tcPr>
            <w:tcW w:type="dxa" w:w="2160"/>
            <w:vAlign w:val="top"/>
          </w:tcPr>
          <w:p>
            <w:r>
              <w:t>None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MADCR-003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ARB-09 approved verification/idempotency invariants</w:t>
            </w:r>
          </w:p>
        </w:tc>
        <w:tc>
          <w:tcPr>
            <w:tcW w:type="dxa" w:w="2160"/>
            <w:vAlign w:val="top"/>
          </w:tcPr>
          <w:p>
            <w:r>
              <w:t>Consume downstream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MADCR-005</w:t>
            </w:r>
          </w:p>
        </w:tc>
        <w:tc>
          <w:tcPr>
            <w:tcW w:type="dxa" w:w="2160"/>
            <w:vAlign w:val="top"/>
          </w:tcPr>
          <w:p>
            <w:r>
              <w:t>OPEN / DOWNSTREAM</w:t>
            </w:r>
          </w:p>
        </w:tc>
        <w:tc>
          <w:tcPr>
            <w:tcW w:type="dxa" w:w="2160"/>
            <w:vAlign w:val="top"/>
          </w:tcPr>
          <w:p>
            <w:r>
              <w:t>Next substantive Payment architecture decision</w:t>
            </w:r>
          </w:p>
        </w:tc>
        <w:tc>
          <w:tcPr>
            <w:tcW w:type="dxa" w:w="2160"/>
            <w:vAlign w:val="top"/>
          </w:tcPr>
          <w:p>
            <w:r>
              <w:t>Evidence/readiness 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MADCR-058</w:t>
            </w:r>
          </w:p>
        </w:tc>
        <w:tc>
          <w:tcPr>
            <w:tcW w:type="dxa" w:w="2160"/>
            <w:vAlign w:val="top"/>
          </w:tcPr>
          <w:p>
            <w:r>
              <w:t>OPEN / RESEARCH</w:t>
            </w:r>
          </w:p>
        </w:tc>
        <w:tc>
          <w:tcPr>
            <w:tcW w:type="dxa" w:w="2160"/>
            <w:vAlign w:val="top"/>
          </w:tcPr>
          <w:p>
            <w:r>
              <w:t>Vendor selection remains separate</w:t>
            </w:r>
          </w:p>
        </w:tc>
        <w:tc>
          <w:tcPr>
            <w:tcW w:type="dxa" w:w="2160"/>
            <w:vAlign w:val="top"/>
          </w:tcPr>
          <w:p>
            <w:r>
              <w:t>Independent research</w:t>
            </w:r>
          </w:p>
        </w:tc>
      </w:tr>
      <w:tr>
        <w:tc>
          <w:tcPr>
            <w:tcW w:type="dxa" w:w="2160"/>
            <w:vAlign w:val="top"/>
          </w:tcPr>
          <w:p>
            <w:r>
              <w:t>OPEN-C01 / MADCR-012</w:t>
            </w:r>
          </w:p>
        </w:tc>
        <w:tc>
          <w:tcPr>
            <w:tcW w:type="dxa" w:w="2160"/>
            <w:vAlign w:val="top"/>
          </w:tcPr>
          <w:p>
            <w:r>
              <w:t>OPEN / GOVERNANCE</w:t>
            </w:r>
          </w:p>
        </w:tc>
        <w:tc>
          <w:tcPr>
            <w:tcW w:type="dxa" w:w="2160"/>
            <w:vAlign w:val="top"/>
          </w:tcPr>
          <w:p>
            <w:r>
              <w:t>Not resolved by MADCR-003</w:t>
            </w:r>
          </w:p>
        </w:tc>
        <w:tc>
          <w:tcPr>
            <w:tcW w:type="dxa" w:w="2160"/>
            <w:vAlign w:val="top"/>
          </w:tcPr>
          <w:p>
            <w:r>
              <w:t>Separate governance work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MADCR-049</w:t>
            </w:r>
          </w:p>
        </w:tc>
        <w:tc>
          <w:tcPr>
            <w:tcW w:type="dxa" w:w="2160"/>
            <w:vAlign w:val="top"/>
          </w:tcPr>
          <w:p>
            <w:r>
              <w:t>OPEN / RE-EVALUATION</w:t>
            </w:r>
          </w:p>
        </w:tc>
        <w:tc>
          <w:tcPr>
            <w:tcW w:type="dxa" w:w="2160"/>
            <w:vAlign w:val="top"/>
          </w:tcPr>
          <w:p>
            <w:r>
              <w:t>Unaffected</w:t>
            </w:r>
          </w:p>
        </w:tc>
        <w:tc>
          <w:tcPr>
            <w:tcW w:type="dxa" w:w="2160"/>
            <w:vAlign w:val="top"/>
          </w:tcPr>
          <w:p>
            <w:r>
              <w:t>Evidence recovery/review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DISC-08 / CR-04</w:t>
            </w:r>
          </w:p>
        </w:tc>
        <w:tc>
          <w:tcPr>
            <w:tcW w:type="dxa" w:w="2160"/>
            <w:vAlign w:val="top"/>
          </w:tcPr>
          <w:p>
            <w:r>
              <w:t>OPEN / HYGIENE</w:t>
            </w:r>
          </w:p>
        </w:tc>
        <w:tc>
          <w:tcPr>
            <w:tcW w:type="dxa" w:w="2160"/>
            <w:vAlign w:val="top"/>
          </w:tcPr>
          <w:p>
            <w:r>
              <w:t>Dependency canonicalization remains</w:t>
            </w:r>
          </w:p>
        </w:tc>
        <w:tc>
          <w:tcPr>
            <w:tcW w:type="dxa" w:w="2160"/>
            <w:vAlign w:val="top"/>
          </w:tcPr>
          <w:p>
            <w:r>
              <w:t>Governance maintenance</w:t>
            </w:r>
          </w:p>
        </w:tc>
      </w:tr>
    </w:tbl>
    <w:p>
      <w:pPr>
        <w:pStyle w:val="Heading1"/>
      </w:pPr>
      <w:r>
        <w:t>4. MADCR-003 Governing Invariants</w:t>
      </w:r>
    </w:p>
    <w:p>
      <w:pPr>
        <w:spacing w:after="80"/>
      </w:pPr>
      <w:r>
        <w:rPr>
          <w:b/>
        </w:rPr>
        <w:t xml:space="preserve">• </w:t>
      </w:r>
      <w:r>
        <w:t>Commercial fulfillment requires verified payment confirmation.</w:t>
      </w:r>
    </w:p>
    <w:p>
      <w:pPr>
        <w:spacing w:after="80"/>
      </w:pPr>
      <w:r>
        <w:rPr>
          <w:b/>
        </w:rPr>
        <w:t xml:space="preserve">• </w:t>
      </w:r>
      <w:r>
        <w:t>Webhook/provider callbacks alone are not sufficient evidence of payment success.</w:t>
      </w:r>
    </w:p>
    <w:p>
      <w:pPr>
        <w:spacing w:after="80"/>
      </w:pPr>
      <w:r>
        <w:rPr>
          <w:b/>
        </w:rPr>
        <w:t xml:space="preserve">• </w:t>
      </w:r>
      <w:r>
        <w:t>Payment event processing must be idempotent.</w:t>
      </w:r>
    </w:p>
    <w:p>
      <w:pPr>
        <w:spacing w:after="80"/>
      </w:pPr>
      <w:r>
        <w:rPr>
          <w:b/>
        </w:rPr>
        <w:t xml:space="preserve">• </w:t>
      </w:r>
      <w:r>
        <w:t>Repeated provider events/retries must not create duplicate subscription, add-on, quota, or commercial fulfillment.</w:t>
      </w:r>
    </w:p>
    <w:p>
      <w:pPr>
        <w:spacing w:after="80"/>
      </w:pPr>
      <w:r>
        <w:rPr>
          <w:b/>
        </w:rPr>
        <w:t xml:space="preserve">• </w:t>
      </w:r>
      <w:r>
        <w:t>Commercial state mutation occurs only after the verification requirement is satisfied.</w:t>
      </w:r>
    </w:p>
    <w:p>
      <w:pPr>
        <w:pStyle w:val="Heading1"/>
      </w:pPr>
      <w:r>
        <w:t>5. Decision Split</w:t>
      </w:r>
    </w:p>
    <w:p>
      <w:pPr>
        <w:spacing w:after="80"/>
      </w:pPr>
      <w:r>
        <w:rPr>
          <w:b/>
        </w:rPr>
        <w:t xml:space="preserve">• </w:t>
      </w:r>
      <w:r>
        <w:t>MADCR-002 governs provider adapter/integration architecture.</w:t>
      </w:r>
    </w:p>
    <w:p>
      <w:pPr>
        <w:spacing w:after="80"/>
      </w:pPr>
      <w:r>
        <w:rPr>
          <w:b/>
        </w:rPr>
        <w:t xml:space="preserve">• </w:t>
      </w:r>
      <w:r>
        <w:t>MADCR-003 governs verification, idempotency, and fulfillment integrity.</w:t>
      </w:r>
    </w:p>
    <w:p>
      <w:pPr>
        <w:spacing w:after="80"/>
      </w:pPr>
      <w:r>
        <w:rPr>
          <w:b/>
        </w:rPr>
        <w:t xml:space="preserve">• </w:t>
      </w:r>
      <w:r>
        <w:t>MADCR-005 governs reconciliation.</w:t>
      </w:r>
    </w:p>
    <w:p>
      <w:pPr>
        <w:spacing w:after="80"/>
      </w:pPr>
      <w:r>
        <w:rPr>
          <w:b/>
        </w:rPr>
        <w:t xml:space="preserve">• </w:t>
      </w:r>
      <w:r>
        <w:t>MADCR-058 governs vendor/provider selection.</w:t>
      </w:r>
    </w:p>
    <w:p>
      <w:pPr>
        <w:spacing w:after="80"/>
      </w:pPr>
      <w:r>
        <w:rPr>
          <w:b/>
        </w:rPr>
        <w:t xml:space="preserve">• </w:t>
      </w:r>
      <w:r>
        <w:t>ERD → API → RBAC/RLS → migration → implementation remain downstream.</w:t>
      </w:r>
    </w:p>
    <w:p>
      <w:pPr>
        <w:pStyle w:val="Heading1"/>
      </w:pPr>
      <w:r>
        <w:t>6. Batch-1 Relationship</w:t>
      </w:r>
    </w:p>
    <w:p>
      <w:pPr>
        <w:spacing w:after="80"/>
      </w:pPr>
      <w:r>
        <w:rPr>
          <w:b/>
        </w:rPr>
        <w:t xml:space="preserve">• </w:t>
      </w:r>
      <w:r>
        <w:t>Batch-1 Gate-1 remains complete through MADCR-011.</w:t>
      </w:r>
    </w:p>
    <w:p>
      <w:pPr>
        <w:spacing w:after="80"/>
      </w:pPr>
      <w:r>
        <w:rPr>
          <w:b/>
        </w:rPr>
        <w:t xml:space="preserve">• </w:t>
      </w:r>
      <w:r>
        <w:t>MAEDR Batch-1 v1.3 remains the governing Batch-1 reconciliation artifact.</w:t>
      </w:r>
    </w:p>
    <w:p>
      <w:pPr>
        <w:spacing w:after="80"/>
      </w:pPr>
      <w:r>
        <w:rPr>
          <w:b/>
        </w:rPr>
        <w:t xml:space="preserve">• </w:t>
      </w:r>
      <w:r>
        <w:t>Residual Batch-1 governance items remain separately tracked and are not silently closed by this reconciliation.</w:t>
      </w:r>
    </w:p>
    <w:p>
      <w:pPr>
        <w:pStyle w:val="Heading1"/>
      </w:pPr>
      <w:r>
        <w:t>7. Implementation Gate</w:t>
      </w:r>
    </w:p>
    <w:p>
      <w:pPr>
        <w:spacing w:after="80"/>
      </w:pPr>
      <w:r>
        <w:rPr>
          <w:b/>
        </w:rPr>
        <w:t xml:space="preserve">• </w:t>
      </w:r>
      <w:r>
        <w:t>No ERD, database schema, API contract, RBAC/RLS, migration, deployment, or implementation work is authorized solely by this reconciliation.</w:t>
      </w:r>
    </w:p>
    <w:p>
      <w:pPr>
        <w:spacing w:after="80"/>
      </w:pPr>
      <w:r>
        <w:rPr>
          <w:b/>
        </w:rPr>
        <w:t xml:space="preserve">• </w:t>
      </w:r>
      <w:r>
        <w:t>Downstream design must preserve the approved verification and idempotency invariants.</w:t>
      </w:r>
    </w:p>
    <w:p>
      <w:pPr>
        <w:pStyle w:val="Heading1"/>
      </w:pPr>
      <w:r>
        <w:t>8. Final Reconciliation Statement</w:t>
      </w:r>
    </w:p>
    <w:p>
      <w:r>
        <w:t>ARB-09 closes MADCR-003 as an APPROVED / GOVERNING downstream architecture decision.</w:t>
      </w:r>
    </w:p>
    <w:p>
      <w:r>
        <w:t>The governing Payment decision chain is now MADCR-011 → MADCR-002 → MADCR-003.</w:t>
      </w:r>
    </w:p>
    <w:p>
      <w:r>
        <w:t>MADCR-005 is the next substantive Payment architecture decision.</w:t>
      </w:r>
    </w:p>
    <w:p>
      <w:r>
        <w:t>No previously approved decision is reopened.</w:t>
      </w:r>
    </w:p>
    <w:p>
      <w:pPr>
        <w:pStyle w:val="Heading1"/>
      </w:pPr>
      <w:r>
        <w:t>9. Reconciliation Record</w:t>
      </w:r>
    </w:p>
    <w:p>
      <w:pPr>
        <w:spacing w:after="80"/>
      </w:pPr>
      <w:r>
        <w:rPr>
          <w:b/>
        </w:rPr>
        <w:t xml:space="preserve">• </w:t>
      </w:r>
      <w:r>
        <w:t>Reconciliation version: v1.1</w:t>
      </w:r>
    </w:p>
    <w:p>
      <w:pPr>
        <w:spacing w:after="80"/>
      </w:pPr>
      <w:r>
        <w:rPr>
          <w:b/>
        </w:rPr>
        <w:t xml:space="preserve">• </w:t>
      </w:r>
      <w:r>
        <w:t>Trigger: ARB-09 / MADCR-003 formal approval</w:t>
      </w:r>
    </w:p>
    <w:p>
      <w:pPr>
        <w:spacing w:after="80"/>
      </w:pPr>
      <w:r>
        <w:rPr>
          <w:b/>
        </w:rPr>
        <w:t xml:space="preserve">• </w:t>
      </w:r>
      <w:r>
        <w:t>Result: MADCR-003 moved to CLOSED / GOVERNING</w:t>
      </w:r>
    </w:p>
    <w:p>
      <w:pPr>
        <w:spacing w:after="80"/>
      </w:pPr>
      <w:r>
        <w:rPr>
          <w:b/>
        </w:rPr>
        <w:t xml:space="preserve">• </w:t>
      </w:r>
      <w:r>
        <w:t>ADR-003: Final / Governing Decision</w:t>
      </w:r>
    </w:p>
    <w:p>
      <w:pPr>
        <w:spacing w:after="80"/>
      </w:pPr>
      <w:r>
        <w:rPr>
          <w:b/>
        </w:rPr>
        <w:t xml:space="preserve">• </w:t>
      </w:r>
      <w:r>
        <w:t>Implementation authorization: NOT GRANTED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