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MADCR-049 FORMAL DECISION &amp; CLOSURE</w:t>
      </w:r>
    </w:p>
    <w:p>
      <w:pPr>
        <w:jc w:val="center"/>
      </w:pPr>
      <w:r>
        <w:rPr>
          <w:b/>
        </w:rPr>
        <w:t>Version 1.0 | 16 August 2026 | User Decision Recorded</w:t>
      </w:r>
    </w:p>
    <w:p>
      <w:pPr>
        <w:pStyle w:val="Heading1"/>
      </w:pPr>
      <w:r>
        <w:t>1. Decision</w:t>
      </w:r>
    </w:p>
    <w:p>
      <w:r>
        <w:rPr>
          <w:b/>
        </w:rPr>
        <w:t>MADCR-049 = APPROVED / GOVERNING</w:t>
      </w:r>
    </w:p>
    <w:p>
      <w:r>
        <w:t>User selected Option A from the MADCR-049 Decision Brief: Course/Module completion is a Learning Activity instance/type. Learning Activity is the canonical completion/reward boundary, while the existing Course remains the content/product structure.</w:t>
      </w:r>
    </w:p>
    <w:p>
      <w:pPr>
        <w:pStyle w:val="Heading1"/>
      </w:pPr>
      <w:r>
        <w:t>2. Decision Scope</w:t>
      </w:r>
    </w:p>
    <w:p>
      <w:pPr>
        <w:pStyle w:val="ListBullet"/>
      </w:pPr>
      <w:r>
        <w:t>Course/Module completion qualifies as a Learning Activity type/instance for Learning Economy purposes.</w:t>
      </w:r>
    </w:p>
    <w:p>
      <w:pPr>
        <w:pStyle w:val="ListBullet"/>
      </w:pPr>
      <w:r>
        <w:t>Learning Activity is the canonical completion/reward boundary for earned Learning Points.</w:t>
      </w:r>
    </w:p>
    <w:p>
      <w:pPr>
        <w:pStyle w:val="ListBullet"/>
      </w:pPr>
      <w:r>
        <w:t>Existing M04 Course/Lesson remains the content/product structure; this decision does not replace or rename the existing Course model.</w:t>
      </w:r>
    </w:p>
    <w:p>
      <w:pPr>
        <w:pStyle w:val="ListBullet"/>
      </w:pPr>
      <w:r>
        <w:t>Course Enrollment remains distinct from Learning Session Enrollment and Event Registration.</w:t>
      </w:r>
    </w:p>
    <w:p>
      <w:pPr>
        <w:pStyle w:val="ListBullet"/>
      </w:pPr>
      <w:r>
        <w:t>Session completion may produce/qualify Learning Activity completion evidence, but Session does not directly create official LP.</w:t>
      </w:r>
    </w:p>
    <w:p>
      <w:pPr>
        <w:pStyle w:val="ListBullet"/>
      </w:pPr>
      <w:r>
        <w:t>Learning Economy remains the authority for LP transaction/reward processing.</w:t>
      </w:r>
    </w:p>
    <w:p>
      <w:pPr>
        <w:pStyle w:val="Heading1"/>
      </w:pPr>
      <w:r>
        <w:t>3. Evidence Basis</w:t>
      </w:r>
    </w:p>
    <w:p>
      <w:pPr>
        <w:pStyle w:val="ListBullet"/>
      </w:pPr>
      <w:r>
        <w:t>LE-011 defines Learning Activity as the earning source and explicitly includes course/module completion among activity examples. fileciteturn7file15</w:t>
      </w:r>
    </w:p>
    <w:p>
      <w:pPr>
        <w:pStyle w:val="ListBullet"/>
      </w:pPr>
      <w:r>
        <w:t>LE-012 requires extensible activity types; LE-013 defines configurable reward/completion/prerequisite/availability/progression/assessment; LE-014 requires determinable completion. fileciteturn7file10turn7file14</w:t>
      </w:r>
    </w:p>
    <w:p>
      <w:pPr>
        <w:pStyle w:val="ListBullet"/>
      </w:pPr>
      <w:r>
        <w:t>Learning Economy domain architecture already defines Learning Program → Learning Path → Module / Activity → Completion → Learning Points → Skill/Credential Path, while preserving MADCR-049 as the unresolved boundary at that time. fileciteturn7file13</w:t>
      </w:r>
    </w:p>
    <w:p>
      <w:pPr>
        <w:pStyle w:val="ListBullet"/>
      </w:pPr>
      <w:r>
        <w:t>AEP2 API impact already includes Learning Activity list/detail and Learning Activity Completion capabilities while deferring physical implementation. fileciteturn7file4</w:t>
      </w:r>
    </w:p>
    <w:p>
      <w:pPr>
        <w:pStyle w:val="ListBullet"/>
      </w:pPr>
      <w:r>
        <w:t>R1 evidence recovery established that Learning Activity is source-supported and that the remaining issue was the Course-vs-Activity semantic relationship. fileciteturn7file1turn7file3</w:t>
      </w:r>
    </w:p>
    <w:p>
      <w:pPr>
        <w:pStyle w:val="ListBullet"/>
      </w:pPr>
      <w:r>
        <w:t>The user has now selected Option A.</w:t>
      </w:r>
    </w:p>
    <w:p>
      <w:pPr>
        <w:pStyle w:val="Heading1"/>
      </w:pPr>
      <w:r>
        <w:t>4. Explicit Non-Decisions</w:t>
      </w:r>
    </w:p>
    <w:p>
      <w:pPr>
        <w:pStyle w:val="ListBullet"/>
      </w:pPr>
      <w:r>
        <w:t>No physical table/entity name is fixed by this decision.</w:t>
      </w:r>
    </w:p>
    <w:p>
      <w:pPr>
        <w:pStyle w:val="ListBullet"/>
      </w:pPr>
      <w:r>
        <w:t>No exact ERD cardinality/FK structure is fixed by this decision.</w:t>
      </w:r>
    </w:p>
    <w:p>
      <w:pPr>
        <w:pStyle w:val="ListBullet"/>
      </w:pPr>
      <w:r>
        <w:t>No exact API endpoint/path/payload is fixed by this decision.</w:t>
      </w:r>
    </w:p>
    <w:p>
      <w:pPr>
        <w:pStyle w:val="ListBullet"/>
      </w:pPr>
      <w:r>
        <w:t>No final RBAC permission ID is fixed by this decision.</w:t>
      </w:r>
    </w:p>
    <w:p>
      <w:pPr>
        <w:pStyle w:val="ListBullet"/>
      </w:pPr>
      <w:r>
        <w:t>No exact evidence-storage implementation is fixed by this decision.</w:t>
      </w:r>
    </w:p>
    <w:p>
      <w:pPr>
        <w:pStyle w:val="ListBullet"/>
      </w:pPr>
      <w:r>
        <w:t>No change is made to assessment/competency, Title/Award, Commercial/Payment, or provider governance.</w:t>
      </w:r>
    </w:p>
    <w:p>
      <w:pPr>
        <w:pStyle w:val="Heading1"/>
      </w:pPr>
      <w:r>
        <w:t>5. Cross-Domain Invariants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Invariant</w:t>
            </w:r>
          </w:p>
        </w:tc>
        <w:tc>
          <w:tcPr>
            <w:tcW w:type="dxa" w:w="3408"/>
            <w:vAlign w:val="center"/>
            <w:shd w:fill="D9EAF7"/>
          </w:tcPr>
          <w:p>
            <w:r/>
            <w:r>
              <w:rPr>
                <w:b/>
                <w:sz w:val="16"/>
              </w:rPr>
              <w:t>Decision Effect</w:t>
            </w:r>
          </w:p>
        </w:tc>
        <w:tc>
          <w:tcPr>
            <w:tcW w:type="dxa" w:w="3408"/>
            <w:vAlign w:val="center"/>
            <w:shd w:fill="D9EAF7"/>
          </w:tcPr>
          <w:p>
            <w:r/>
            <w:r>
              <w:rPr>
                <w:b/>
                <w:sz w:val="16"/>
              </w:rPr>
              <w:t>Must Remain True</w:t>
            </w:r>
          </w:p>
        </w:tc>
      </w:tr>
      <w:tr>
        <w:tc>
          <w:tcPr>
            <w:tcW w:type="dxa" w:w="3408"/>
            <w:vAlign w:val="center"/>
          </w:tcPr>
          <w:p>
            <w:r/>
            <w:r>
              <w:rPr>
                <w:b w:val="0"/>
                <w:sz w:val="16"/>
              </w:rPr>
              <w:t>Course Enrollment ≠ Session Enrollment ≠ Event Registration</w:t>
            </w:r>
          </w:p>
        </w:tc>
        <w:tc>
          <w:tcPr>
            <w:tcW w:type="dxa" w:w="3408"/>
            <w:vAlign w:val="center"/>
          </w:tcPr>
          <w:p>
            <w:r/>
            <w:r>
              <w:rPr>
                <w:b w:val="0"/>
                <w:sz w:val="16"/>
              </w:rPr>
              <w:t>Option A does not merge enrollment models.</w:t>
            </w:r>
          </w:p>
        </w:tc>
        <w:tc>
          <w:tcPr>
            <w:tcW w:type="dxa" w:w="3408"/>
            <w:vAlign w:val="center"/>
          </w:tcPr>
          <w:p>
            <w:r/>
            <w:r>
              <w:rPr>
                <w:b w:val="0"/>
                <w:sz w:val="16"/>
              </w:rPr>
              <w:t>A course learner is not automatically a session participant or event registrant.</w:t>
            </w:r>
          </w:p>
        </w:tc>
      </w:tr>
      <w:tr>
        <w:tc>
          <w:tcPr>
            <w:tcW w:type="dxa" w:w="3408"/>
            <w:vAlign w:val="center"/>
          </w:tcPr>
          <w:p>
            <w:r/>
            <w:r>
              <w:rPr>
                <w:b w:val="0"/>
                <w:sz w:val="16"/>
              </w:rPr>
              <w:t>Completion ≠ Competency</w:t>
            </w:r>
          </w:p>
        </w:tc>
        <w:tc>
          <w:tcPr>
            <w:tcW w:type="dxa" w:w="3408"/>
            <w:vAlign w:val="center"/>
          </w:tcPr>
          <w:p>
            <w:r/>
            <w:r>
              <w:rPr>
                <w:b w:val="0"/>
                <w:sz w:val="16"/>
              </w:rPr>
              <w:t>Course/module activity completion is evidence for Learning Activity completion, not universal competency.</w:t>
            </w:r>
          </w:p>
        </w:tc>
        <w:tc>
          <w:tcPr>
            <w:tcW w:type="dxa" w:w="3408"/>
            <w:vAlign w:val="center"/>
          </w:tcPr>
          <w:p>
            <w:r/>
            <w:r>
              <w:rPr>
                <w:b w:val="0"/>
                <w:sz w:val="16"/>
              </w:rPr>
              <w:t>Assessment/skill/credential rules remain independent.</w:t>
            </w:r>
          </w:p>
        </w:tc>
      </w:tr>
      <w:tr>
        <w:tc>
          <w:tcPr>
            <w:tcW w:type="dxa" w:w="3408"/>
            <w:vAlign w:val="center"/>
          </w:tcPr>
          <w:p>
            <w:r/>
            <w:r>
              <w:rPr>
                <w:b w:val="0"/>
                <w:sz w:val="16"/>
              </w:rPr>
              <w:t>Learning Activity ≠ Learning Points</w:t>
            </w:r>
          </w:p>
        </w:tc>
        <w:tc>
          <w:tcPr>
            <w:tcW w:type="dxa" w:w="3408"/>
            <w:vAlign w:val="center"/>
          </w:tcPr>
          <w:p>
            <w:r/>
            <w:r>
              <w:rPr>
                <w:b w:val="0"/>
                <w:sz w:val="16"/>
              </w:rPr>
              <w:t>Activity is the earning source; LP remains a transaction/ledger outcome.</w:t>
            </w:r>
          </w:p>
        </w:tc>
        <w:tc>
          <w:tcPr>
            <w:tcW w:type="dxa" w:w="3408"/>
            <w:vAlign w:val="center"/>
          </w:tcPr>
          <w:p>
            <w:r/>
            <w:r>
              <w:rPr>
                <w:b w:val="0"/>
                <w:sz w:val="16"/>
              </w:rPr>
              <w:t>Activity completion cannot be represented only as balance.</w:t>
            </w:r>
          </w:p>
        </w:tc>
      </w:tr>
      <w:tr>
        <w:tc>
          <w:tcPr>
            <w:tcW w:type="dxa" w:w="3408"/>
            <w:vAlign w:val="center"/>
          </w:tcPr>
          <w:p>
            <w:r/>
            <w:r>
              <w:rPr>
                <w:b w:val="0"/>
                <w:sz w:val="16"/>
              </w:rPr>
              <w:t>Session ≠ Learning Activity authority</w:t>
            </w:r>
          </w:p>
        </w:tc>
        <w:tc>
          <w:tcPr>
            <w:tcW w:type="dxa" w:w="3408"/>
            <w:vAlign w:val="center"/>
          </w:tcPr>
          <w:p>
            <w:r/>
            <w:r>
              <w:rPr>
                <w:b w:val="0"/>
                <w:sz w:val="16"/>
              </w:rPr>
              <w:t>Session can supply qualifying completion evidence.</w:t>
            </w:r>
          </w:p>
        </w:tc>
        <w:tc>
          <w:tcPr>
            <w:tcW w:type="dxa" w:w="3408"/>
            <w:vAlign w:val="center"/>
          </w:tcPr>
          <w:p>
            <w:r/>
            <w:r>
              <w:rPr>
                <w:b w:val="0"/>
                <w:sz w:val="16"/>
              </w:rPr>
              <w:t>Session cannot directly mutate LP state.</w:t>
            </w:r>
          </w:p>
        </w:tc>
      </w:tr>
      <w:tr>
        <w:tc>
          <w:tcPr>
            <w:tcW w:type="dxa" w:w="3408"/>
            <w:vAlign w:val="center"/>
          </w:tcPr>
          <w:p>
            <w:r/>
            <w:r>
              <w:rPr>
                <w:b w:val="0"/>
                <w:sz w:val="16"/>
              </w:rPr>
              <w:t>M04 Certificate ≠ Award Instance</w:t>
            </w:r>
          </w:p>
        </w:tc>
        <w:tc>
          <w:tcPr>
            <w:tcW w:type="dxa" w:w="3408"/>
            <w:vAlign w:val="center"/>
          </w:tcPr>
          <w:p>
            <w:r/>
            <w:r>
              <w:rPr>
                <w:b w:val="0"/>
                <w:sz w:val="16"/>
              </w:rPr>
              <w:t>No effect from MADCR-049.</w:t>
            </w:r>
          </w:p>
        </w:tc>
        <w:tc>
          <w:tcPr>
            <w:tcW w:type="dxa" w:w="3408"/>
            <w:vAlign w:val="center"/>
          </w:tcPr>
          <w:p>
            <w:r/>
            <w:r>
              <w:rPr>
                <w:b w:val="0"/>
                <w:sz w:val="16"/>
              </w:rPr>
              <w:t>MADCR-046 boundary remains unchanged.</w:t>
            </w:r>
          </w:p>
        </w:tc>
      </w:tr>
    </w:tbl>
    <w:p>
      <w:pPr>
        <w:pStyle w:val="Heading1"/>
      </w:pPr>
      <w:r>
        <w:t>6. Impact on Downstream Design</w:t>
      </w:r>
    </w:p>
    <w:p>
      <w:pPr>
        <w:pStyle w:val="ListBullet"/>
      </w:pPr>
      <w:r>
        <w:t>ERD/Schema: downstream design may model Course/Module completion as a Learning Activity completion boundary; physical structure must be designed separately.</w:t>
      </w:r>
    </w:p>
    <w:p>
      <w:pPr>
        <w:pStyle w:val="ListBullet"/>
      </w:pPr>
      <w:r>
        <w:t>API: Learning Activity and Learning Activity Completion capabilities are now semantically confirmed for course/module completion; exact endpoints remain downstream.</w:t>
      </w:r>
    </w:p>
    <w:p>
      <w:pPr>
        <w:pStyle w:val="ListBullet"/>
      </w:pPr>
      <w:r>
        <w:t>User Flow: course/module completion may produce an activity-completion state which can trigger configured earned-LP processing.</w:t>
      </w:r>
    </w:p>
    <w:p>
      <w:pPr>
        <w:pStyle w:val="ListBullet"/>
      </w:pPr>
      <w:r>
        <w:t>RBAC: Learning activity administration/issuance capabilities remain governed separately from LP state; exact permission IDs remain downstream.</w:t>
      </w:r>
    </w:p>
    <w:p>
      <w:pPr>
        <w:pStyle w:val="ListBullet"/>
      </w:pPr>
      <w:r>
        <w:t>Test: completion evidence and reward tests for course/module completion can now move from CONDITIONAL-MADCR-049 to REQUIRED, while physical implementation remains gated.</w:t>
      </w:r>
    </w:p>
    <w:p>
      <w:pPr>
        <w:pStyle w:val="ListBullet"/>
      </w:pPr>
      <w:r>
        <w:t>Learning Session: session completion must route through the Learning Activity boundary and must not directly issue official LP.</w:t>
      </w:r>
    </w:p>
    <w:p>
      <w:pPr>
        <w:pStyle w:val="Heading1"/>
      </w:pPr>
      <w:r>
        <w:t>7. Residual Status Change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6"/>
              </w:rPr>
              <w:t>Before</w:t>
            </w:r>
          </w:p>
        </w:tc>
        <w:tc>
          <w:tcPr>
            <w:tcW w:type="dxa" w:w="3408"/>
            <w:vAlign w:val="center"/>
            <w:shd w:fill="D9EAF7"/>
          </w:tcPr>
          <w:p>
            <w:r/>
            <w:r>
              <w:rPr>
                <w:b/>
                <w:sz w:val="16"/>
              </w:rPr>
              <w:t>Now</w:t>
            </w:r>
          </w:p>
        </w:tc>
        <w:tc>
          <w:tcPr>
            <w:tcW w:type="dxa" w:w="3408"/>
            <w:vAlign w:val="center"/>
            <w:shd w:fill="D9EAF7"/>
          </w:tcPr>
          <w:p>
            <w:r/>
            <w:r>
              <w:rPr>
                <w:b/>
                <w:sz w:val="16"/>
              </w:rPr>
              <w:t>Treatment</w:t>
            </w:r>
          </w:p>
        </w:tc>
      </w:tr>
      <w:tr>
        <w:tc>
          <w:tcPr>
            <w:tcW w:type="dxa" w:w="3408"/>
            <w:vAlign w:val="center"/>
          </w:tcPr>
          <w:p>
            <w:r/>
            <w:r>
              <w:rPr>
                <w:b w:val="0"/>
                <w:sz w:val="16"/>
              </w:rPr>
              <w:t>MADCR-049 OPEN / RE-EVALUATION</w:t>
            </w:r>
          </w:p>
        </w:tc>
        <w:tc>
          <w:tcPr>
            <w:tcW w:type="dxa" w:w="3408"/>
            <w:vAlign w:val="center"/>
          </w:tcPr>
          <w:p>
            <w:r/>
            <w:r>
              <w:rPr>
                <w:b w:val="0"/>
                <w:sz w:val="16"/>
              </w:rPr>
              <w:t>APPROVED / GOVERNING</w:t>
            </w:r>
          </w:p>
        </w:tc>
        <w:tc>
          <w:tcPr>
            <w:tcW w:type="dxa" w:w="3408"/>
            <w:vAlign w:val="center"/>
          </w:tcPr>
          <w:p>
            <w:r/>
            <w:r>
              <w:rPr>
                <w:b w:val="0"/>
                <w:sz w:val="16"/>
              </w:rPr>
              <w:t>Remove from active blocker list; preserve evidence-recovery history.</w:t>
            </w:r>
          </w:p>
        </w:tc>
      </w:tr>
      <w:tr>
        <w:tc>
          <w:tcPr>
            <w:tcW w:type="dxa" w:w="3408"/>
            <w:vAlign w:val="center"/>
          </w:tcPr>
          <w:p>
            <w:r/>
            <w:r>
              <w:rPr>
                <w:b w:val="0"/>
                <w:sz w:val="16"/>
              </w:rPr>
              <w:t>LE-014 completion evidence CONDITIONAL on MADCR-049</w:t>
            </w:r>
          </w:p>
        </w:tc>
        <w:tc>
          <w:tcPr>
            <w:tcW w:type="dxa" w:w="3408"/>
            <w:vAlign w:val="center"/>
          </w:tcPr>
          <w:p>
            <w:r/>
            <w:r>
              <w:rPr>
                <w:b w:val="0"/>
                <w:sz w:val="16"/>
              </w:rPr>
              <w:t>SEMANTICALLY UNCONDITIONAL</w:t>
            </w:r>
          </w:p>
        </w:tc>
        <w:tc>
          <w:tcPr>
            <w:tcW w:type="dxa" w:w="3408"/>
            <w:vAlign w:val="center"/>
          </w:tcPr>
          <w:p>
            <w:r/>
            <w:r>
              <w:rPr>
                <w:b w:val="0"/>
                <w:sz w:val="16"/>
              </w:rPr>
              <w:t>Exact evidence mechanism remains downstream.</w:t>
            </w:r>
          </w:p>
        </w:tc>
      </w:tr>
      <w:tr>
        <w:tc>
          <w:tcPr>
            <w:tcW w:type="dxa" w:w="3408"/>
            <w:vAlign w:val="center"/>
          </w:tcPr>
          <w:p>
            <w:r/>
            <w:r>
              <w:rPr>
                <w:b w:val="0"/>
                <w:sz w:val="16"/>
              </w:rPr>
              <w:t>AEP2 Learning Activity evidence model conditional on MADCR-049</w:t>
            </w:r>
          </w:p>
        </w:tc>
        <w:tc>
          <w:tcPr>
            <w:tcW w:type="dxa" w:w="3408"/>
            <w:vAlign w:val="center"/>
          </w:tcPr>
          <w:p>
            <w:r/>
            <w:r>
              <w:rPr>
                <w:b w:val="0"/>
                <w:sz w:val="16"/>
              </w:rPr>
              <w:t>SEMANTIC BOUNDARY CONFIRMED</w:t>
            </w:r>
          </w:p>
        </w:tc>
        <w:tc>
          <w:tcPr>
            <w:tcW w:type="dxa" w:w="3408"/>
            <w:vAlign w:val="center"/>
          </w:tcPr>
          <w:p>
            <w:r/>
            <w:r>
              <w:rPr>
                <w:b w:val="0"/>
                <w:sz w:val="16"/>
              </w:rPr>
              <w:t>Physical evidence model still requires technical design gate.</w:t>
            </w:r>
          </w:p>
        </w:tc>
      </w:tr>
    </w:tbl>
    <w:p>
      <w:pPr>
        <w:pStyle w:val="Heading1"/>
      </w:pPr>
      <w:r>
        <w:t>8. Gate Decision</w:t>
      </w:r>
    </w:p>
    <w:p>
      <w:r>
        <w:rPr>
          <w:b/>
        </w:rPr>
        <w:t>MADCR-049 CLOSURE = PASS.</w:t>
      </w:r>
    </w:p>
    <w:p>
      <w:r>
        <w:t>The governance question is closed by explicit user decision. This closure does not authorize database migration, physical schema execution, final API implementation, or production activation. Those remain governed by the P3 technical execution gate and other independent residuals.</w:t>
      </w:r>
    </w:p>
    <w:p>
      <w:pPr>
        <w:pStyle w:val="Heading1"/>
      </w:pPr>
      <w:r>
        <w:t>9. Remaining Independent Residuals</w:t>
      </w:r>
    </w:p>
    <w:p>
      <w:pPr>
        <w:pStyle w:val="ListBullet"/>
      </w:pPr>
      <w:r>
        <w:t>MADCR-053 — cross-domain permission taxonomy.</w:t>
      </w:r>
    </w:p>
    <w:p>
      <w:pPr>
        <w:pStyle w:val="ListBullet"/>
      </w:pPr>
      <w:r>
        <w:t>MADCR-054 — Host/Instructor authorization.</w:t>
      </w:r>
    </w:p>
    <w:p>
      <w:pPr>
        <w:pStyle w:val="ListBullet"/>
      </w:pPr>
      <w:r>
        <w:t>AEP3-OD-02 — Authority/Scope cardinality.</w:t>
      </w:r>
    </w:p>
    <w:p>
      <w:pPr>
        <w:pStyle w:val="ListBullet"/>
      </w:pPr>
      <w:r>
        <w:t>AEP3-OD-03 — lifecycle/appeal storage.</w:t>
      </w:r>
    </w:p>
    <w:p>
      <w:pPr>
        <w:pStyle w:val="ListBullet"/>
      </w:pPr>
      <w:r>
        <w:t>AEP3-OD-04 — rule lineage cardinality.</w:t>
      </w:r>
    </w:p>
    <w:p>
      <w:pPr>
        <w:pStyle w:val="ListBullet"/>
      </w:pPr>
      <w:r>
        <w:t>AEP3-OD-05 — temporal/effective-date semantics.</w:t>
      </w:r>
    </w:p>
    <w:p>
      <w:pPr>
        <w:pStyle w:val="ListBullet"/>
      </w:pPr>
      <w:r>
        <w:t>AEP4-OD-08 — automatic provider failover.</w:t>
      </w:r>
    </w:p>
    <w:p>
      <w:pPr>
        <w:pStyle w:val="ListBullet"/>
      </w:pPr>
      <w:r>
        <w:t>Provider capability verification.</w:t>
      </w:r>
    </w:p>
    <w:p>
      <w:pPr>
        <w:pStyle w:val="ListBullet"/>
      </w:pPr>
      <w:r>
        <w:t>Session/Event relationship and exact attendance/capacity/visibility/recording policy.</w:t>
      </w:r>
    </w:p>
    <w:p>
      <w:pPr>
        <w:pStyle w:val="ListBullet"/>
      </w:pPr>
      <w:r>
        <w:t>OPEN-C01 and MBR-COM-001–013 as previously controlled evidence/provenance residuals.</w:t>
      </w:r>
    </w:p>
    <w:p>
      <w:pPr>
        <w:pStyle w:val="Heading1"/>
      </w:pPr>
      <w:r>
        <w:t>10. Next Step</w:t>
      </w:r>
    </w:p>
    <w:p>
      <w:r>
        <w:t>Dengan MADCR-049 sekarang closed, saya akan melanjutkan ke residual closure berikutnya yang independen: MADCR-053/MADCR-054 governance readiness, kemudian provider capability verification dan AEP3 physical-readiness residuals. Tidak perlu mengulang AEP2 synchronization.</w:t>
      </w:r>
    </w:p>
    <w:p>
      <w:pPr>
        <w:pStyle w:val="Heading1"/>
      </w:pPr>
      <w:r>
        <w:t>11. Continuity Statement</w:t>
      </w:r>
    </w:p>
    <w:p>
      <w:r>
        <w:t>Dokumen ini adalah formal decision artifact yang mencatat keputusan user Option A. Semua downstream artifact yang bergantung pada MADCR-049 wajib menggunakan boundary ini dan tidak boleh kembali menyatakan MADCR-049 OPEN, kecuali ada governing supersession yang eksplisit.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