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RUMAHAGEN</w:t>
        <w:br/>
        <w:t>MADCR-053 DECISION BRIEF</w:t>
        <w:br/>
        <w:t>CROSS-DOMAIN PERMISSION TAXONOMY</w:t>
      </w:r>
    </w:p>
    <w:p>
      <w:pPr>
        <w:jc w:val="center"/>
      </w:pPr>
      <w:r>
        <w:rPr>
          <w:b/>
        </w:rPr>
        <w:t>Version 1.0 | 16 August 2026 | Decision-Ready Material — NOT YET APPROVED</w:t>
      </w:r>
    </w:p>
    <w:p>
      <w:pPr>
        <w:pStyle w:val="Heading1"/>
      </w:pPr>
      <w:r>
        <w:t>1. Purpose</w:t>
      </w:r>
    </w:p>
    <w:p>
      <w:r>
        <w:t>Brief ini menyusun evidence dan bounded decision untuk MADCR-053. Tidak menetapkan permission ID, SQL, RLS policy, atau provider credentials.</w:t>
      </w:r>
    </w:p>
    <w:p>
      <w:pPr>
        <w:pStyle w:val="Heading1"/>
      </w:pPr>
      <w:r>
        <w:t>2. Governing Evidence</w:t>
      </w:r>
    </w:p>
    <w:p>
      <w:pPr>
        <w:pStyle w:val="ListBullet"/>
      </w:pPr>
      <w:r>
        <w:t>RBAC adalah authorization layer pertama; RLS tetap layer kedua untuk scope/data.</w:t>
      </w:r>
    </w:p>
    <w:p>
      <w:pPr>
        <w:pStyle w:val="ListBullet"/>
      </w:pPr>
      <w:r>
        <w:t>Authorization chain: authentication → eligibility → authorization → provider access.</w:t>
      </w:r>
    </w:p>
    <w:p>
      <w:pPr>
        <w:pStyle w:val="ListBullet"/>
      </w:pPr>
      <w:r>
        <w:t>Instructor tidak otomatis berarti Host authority.</w:t>
      </w:r>
    </w:p>
    <w:p>
      <w:pPr>
        <w:pStyle w:val="ListBullet"/>
      </w:pPr>
      <w:r>
        <w:t>Session capability evidence mencakup session.create/manage, session.host, session.instructor, provider.bind/switch, attendance.manage, recording.manage, visibility.manage.</w:t>
      </w:r>
    </w:p>
    <w:p>
      <w:pPr>
        <w:pStyle w:val="ListBullet"/>
      </w:pPr>
      <w:r>
        <w:t>MADCR-053 menjadi foundation cross-domain permission taxonomy; MADCR-054 bergantung pada MADCR-053.</w:t>
      </w:r>
    </w:p>
    <w:p>
      <w:pPr>
        <w:pStyle w:val="ListBullet"/>
      </w:pPr>
      <w:r>
        <w:t>Existing Authorization v1.1 / M01–M13 permission catalogue adalah compatibility baseline, bukan approval authority untuk permission baru.</w:t>
      </w:r>
    </w:p>
    <w:p>
      <w:pPr>
        <w:pStyle w:val="ListBullet"/>
      </w:pPr>
      <w:r>
        <w:t>RBAC tetap terpisah dari Commercial Entitlement dan Qualification/Awarding Authority.</w:t>
      </w:r>
    </w:p>
    <w:p>
      <w:pPr>
        <w:pStyle w:val="Heading1"/>
      </w:pPr>
      <w:r>
        <w:t>3. Decision Question</w:t>
      </w:r>
    </w:p>
    <w:p>
      <w:r>
        <w:rPr>
          <w:b/>
        </w:rPr>
        <w:t>Apa canonical semantic taxonomy untuk permission/capability lintas domain dan bagaimana scope direpresentasikan tanpa mencampurkan RBAC dengan Entitlement, Qualification, atau Awarding Authority?</w:t>
      </w:r>
    </w:p>
    <w:p>
      <w:pPr>
        <w:pStyle w:val="Heading1"/>
      </w:pPr>
      <w:r>
        <w:t>4. Proposed Semantic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Boundary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Capability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Operasi yang boleh dilakukan.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session.create, session.manage, session.host, provider.bind, attendance.manage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Bukan entitlement/qualification.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Permission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Authorization grant untuk capability.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session.host; provider.bind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Bukan payment entitlement.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Batas resource/data tempat permission berlaku.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own, organization, specific resource, privileged/system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Bukan role.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Grouping actor yang membawa permission.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existing RBAC roles / future governed roles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Tidak otomatis membawa semua capability.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Entitlement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Commercial access right.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Commercial Entitlement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Bukan RBAC permission.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Qualification/Awarding Authority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Hak/hasil qualification/award.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qualification evaluation, Award Instance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Bukan permission operasi resource.</w:t>
            </w:r>
          </w:p>
        </w:tc>
      </w:tr>
    </w:tbl>
    <w:p>
      <w:pPr>
        <w:pStyle w:val="Heading1"/>
      </w:pPr>
      <w:r>
        <w:t>5. Scope Vocabulary — Semantic Candidate</w:t>
      </w:r>
    </w:p>
    <w:p>
      <w:pPr>
        <w:pStyle w:val="ListBullet"/>
      </w:pPr>
      <w:r>
        <w:t>Own/resource scope — resource yang dimiliki atau ditugaskan.</w:t>
      </w:r>
    </w:p>
    <w:p>
      <w:pPr>
        <w:pStyle w:val="ListBullet"/>
      </w:pPr>
      <w:r>
        <w:t>Organization scope — resource dalam organization/tenant yang berwenang.</w:t>
      </w:r>
    </w:p>
    <w:p>
      <w:pPr>
        <w:pStyle w:val="ListBullet"/>
      </w:pPr>
      <w:r>
        <w:t>Specific-resource scope — authority atas session/resource tertentu.</w:t>
      </w:r>
    </w:p>
    <w:p>
      <w:pPr>
        <w:pStyle w:val="ListBullet"/>
      </w:pPr>
      <w:r>
        <w:t>Privileged/system scope — capability yang memang governance-privileged.</w:t>
      </w:r>
    </w:p>
    <w:p>
      <w:pPr>
        <w:pStyle w:val="ListBullet"/>
      </w:pPr>
      <w:r>
        <w:t>Cross-domain scope — hanya bila capability secara eksplisit lintas domain.</w:t>
      </w:r>
    </w:p>
    <w:p>
      <w:r>
        <w:t>Ini vocabulary semantic, bukan keputusan physical cardinality.</w:t>
      </w:r>
    </w:p>
    <w:p>
      <w:pPr>
        <w:pStyle w:val="Heading1"/>
      </w:pPr>
      <w:r>
        <w:t>6. Authorization Evaluation</w:t>
      </w:r>
    </w:p>
    <w:p>
      <w:pPr>
        <w:pStyle w:val="ListNumber"/>
      </w:pPr>
      <w:r>
        <w:t>Authenticate actor.</w:t>
      </w:r>
    </w:p>
    <w:p>
      <w:pPr>
        <w:pStyle w:val="ListNumber"/>
      </w:pPr>
      <w:r>
        <w:t>Resolve eligibility/context.</w:t>
      </w:r>
    </w:p>
    <w:p>
      <w:pPr>
        <w:pStyle w:val="ListNumber"/>
      </w:pPr>
      <w:r>
        <w:t>Resolve role/permission/capability.</w:t>
      </w:r>
    </w:p>
    <w:p>
      <w:pPr>
        <w:pStyle w:val="ListNumber"/>
      </w:pPr>
      <w:r>
        <w:t>Evaluate scope against target resource.</w:t>
      </w:r>
    </w:p>
    <w:p>
      <w:pPr>
        <w:pStyle w:val="ListNumber"/>
      </w:pPr>
      <w:r>
        <w:t>Evaluate separate Commercial Entitlement or qualification requirement where applicable.</w:t>
      </w:r>
    </w:p>
    <w:p>
      <w:pPr>
        <w:pStyle w:val="ListNumber"/>
      </w:pPr>
      <w:r>
        <w:t>Authorize operation.</w:t>
      </w:r>
    </w:p>
    <w:p>
      <w:pPr>
        <w:pStyle w:val="ListNumber"/>
      </w:pPr>
      <w:r>
        <w:t>Allow provider/infrastructure action only after authorization.</w:t>
      </w:r>
    </w:p>
    <w:p>
      <w:pPr>
        <w:pStyle w:val="Heading1"/>
      </w:pPr>
      <w:r>
        <w:t>7. Session Permission Family — 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Family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Dependency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Session lifecycle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create/manage/lifecycle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Session scope/ownership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Host operation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host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MADCR-054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Instructor operation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MADCR-054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Provider binding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bind/switch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Provider governance + Host authority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Attendance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manage attendance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Session authority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Recording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manage recording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Recording policy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Visibility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manage visibility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Visibility policy</w:t>
            </w:r>
          </w:p>
        </w:tc>
      </w:tr>
    </w:tbl>
    <w:p>
      <w:pPr>
        <w:pStyle w:val="Heading1"/>
      </w:pPr>
      <w:r>
        <w:t>8. Critical Boundary</w:t>
      </w:r>
    </w:p>
    <w:p>
      <w:r>
        <w:rPr>
          <w:b/>
        </w:rPr>
        <w:t>Instructor ≠ Host by default.</w:t>
      </w:r>
    </w:p>
    <w:p>
      <w:r>
        <w:t>Taxonomy harus mempertahankan capability terpisah walaupun nantinya satu actor/role dapat memperoleh keduanya.</w:t>
      </w:r>
    </w:p>
    <w:p>
      <w:pPr>
        <w:pStyle w:val="Heading1"/>
      </w:pPr>
      <w:r>
        <w:t>9. Compatibility Rules</w:t>
      </w:r>
    </w:p>
    <w:p>
      <w:pPr>
        <w:pStyle w:val="ListBullet"/>
      </w:pPr>
      <w:r>
        <w:t>Existing M01–M13 permission IDs tidak diubah/di-repurpose oleh MADCR-053.</w:t>
      </w:r>
    </w:p>
    <w:p>
      <w:pPr>
        <w:pStyle w:val="ListBullet"/>
      </w:pPr>
      <w:r>
        <w:t>New capabilities harus direkonsiliasi ke permission catalogue aktual pada downstream implementation design.</w:t>
      </w:r>
    </w:p>
    <w:p>
      <w:pPr>
        <w:pStyle w:val="ListBullet"/>
      </w:pPr>
      <w:r>
        <w:t>Exact permission IDs berada di luar decision ini.</w:t>
      </w:r>
    </w:p>
    <w:p>
      <w:pPr>
        <w:pStyle w:val="ListBullet"/>
      </w:pPr>
      <w:r>
        <w:t>RLS tetap terpisah dari RBAC.</w:t>
      </w:r>
    </w:p>
    <w:p>
      <w:pPr>
        <w:pStyle w:val="ListBullet"/>
      </w:pPr>
      <w:r>
        <w:t>A valid RBAC permission does not automatically grant arbitrary data scope.</w:t>
      </w:r>
    </w:p>
    <w:p>
      <w:pPr>
        <w:pStyle w:val="Heading1"/>
      </w:pPr>
      <w:r>
        <w:t>10. Recommendation — Non-Governing</w:t>
      </w:r>
    </w:p>
    <w:p>
      <w:r>
        <w:t>Saya merekomendasikan taxonomy: Capability + Permission + Scope, dengan Role sebagai actor grouping; Commercial Entitlement dan Qualification/Awarding Authority tetap independent.</w:t>
      </w:r>
    </w:p>
    <w:p>
      <w:pPr>
        <w:pStyle w:val="Heading1"/>
      </w:pPr>
      <w:r>
        <w:t>11. Decision Required</w:t>
      </w:r>
    </w:p>
    <w:p>
      <w:r>
        <w:rPr>
          <w:b/>
        </w:rPr>
        <w:t>Apakah taxonomy berikut diterima sebagai canonical semantic foundation MADCR-053?</w:t>
      </w:r>
    </w:p>
    <w:p>
      <w:r>
        <w:t>Capability + Permission + Scope; Role sebagai grouping; Entitlement dan Qualification/Awarding Authority tetap terpisah.</w:t>
      </w:r>
    </w:p>
    <w:p>
      <w:r>
        <w:t>Jika diterima, saya akan formalize MADCR-053 dan lanjut ke MADCR-054. Jika tidak, saya akan menyesuaikan taxonomy sesuai arahan.</w:t>
      </w:r>
    </w:p>
    <w:p>
      <w:pPr>
        <w:pStyle w:val="Heading1"/>
      </w:pPr>
      <w:r>
        <w:t>12. Outside Scope</w:t>
      </w:r>
    </w:p>
    <w:p>
      <w:pPr>
        <w:pStyle w:val="ListBullet"/>
      </w:pPr>
      <w:r>
        <w:t>Final Host vs Instructor mapping (MADCR-054).</w:t>
      </w:r>
    </w:p>
    <w:p>
      <w:pPr>
        <w:pStyle w:val="ListBullet"/>
      </w:pPr>
      <w:r>
        <w:t>Exact permission IDs.</w:t>
      </w:r>
    </w:p>
    <w:p>
      <w:pPr>
        <w:pStyle w:val="ListBullet"/>
      </w:pPr>
      <w:r>
        <w:t>Physical RBAC tables/cardinality.</w:t>
      </w:r>
    </w:p>
    <w:p>
      <w:pPr>
        <w:pStyle w:val="ListBullet"/>
      </w:pPr>
      <w:r>
        <w:t>RLS SQL/policy.</w:t>
      </w:r>
    </w:p>
    <w:p>
      <w:pPr>
        <w:pStyle w:val="ListBullet"/>
      </w:pPr>
      <w:r>
        <w:t>Provider credentials.</w:t>
      </w:r>
    </w:p>
    <w:p>
      <w:pPr>
        <w:pStyle w:val="ListBullet"/>
      </w:pPr>
      <w:r>
        <w:t>Automatic provider failover.</w:t>
      </w:r>
    </w:p>
    <w:p>
      <w:pPr>
        <w:pStyle w:val="ListBullet"/>
      </w:pPr>
      <w:r>
        <w:t>Commercial Entitlement issuance.</w:t>
      </w:r>
    </w:p>
    <w:p>
      <w:pPr>
        <w:pStyle w:val="ListBullet"/>
      </w:pPr>
      <w:r>
        <w:t>Awarding qualification.</w:t>
      </w:r>
    </w:p>
    <w:p>
      <w:pPr>
        <w:pStyle w:val="Heading1"/>
      </w:pPr>
      <w:r>
        <w:t>13. Gate</w:t>
      </w:r>
    </w:p>
    <w:p>
      <w:r>
        <w:rPr>
          <w:b/>
        </w:rPr>
        <w:t>MADCR-053 = OPEN / DECISION-READY.</w:t>
      </w:r>
    </w:p>
    <w:p>
      <w:r>
        <w:t>Tidak ada implementation change yang diotorisasi oleh brief ini. MADCR-054 tetap blocked sampai MADCR-053 approved.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