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RUMAHAGEN</w:t>
        <w:br/>
        <w:t>P1 — CURRENT TECHNICAL BASELINE VERIFICATION</w:t>
      </w:r>
    </w:p>
    <w:p>
      <w:pPr>
        <w:jc w:val="center"/>
      </w:pPr>
      <w:r>
        <w:rPr>
          <w:b/>
        </w:rPr>
        <w:t>Version 1.0 | 16 August 2026 | Controlled Evidence / No Implementation Authorization</w:t>
      </w:r>
    </w:p>
    <w:p>
      <w:pPr>
        <w:pStyle w:val="Heading1"/>
      </w:pPr>
      <w:r>
        <w:t>1. Purpose</w:t>
      </w:r>
    </w:p>
    <w:p>
      <w:r>
        <w:t>P1 memverifikasi baseline teknis aktual yang menjadi downstream baseline sebelum physical design/implementation. P1 tidak mengedit baseline, tidak menutup residual governance, dan tidak menganggap keberadaan migration SQL sebagai bukti database live. Verifikasi dilakukan terhadap arsip proyek aktual dan dibandingkan dengan D6/cross-AEP governing state.</w:t>
      </w:r>
    </w:p>
    <w:p>
      <w:pPr>
        <w:pStyle w:val="Heading1"/>
      </w:pPr>
      <w:r>
        <w:t>2. Evidence Basis</w:t>
      </w:r>
    </w:p>
    <w:p>
      <w:pPr>
        <w:pStyle w:val="ListBullet"/>
      </w:pPr>
      <w:r>
        <w:t>Direct archive inspection terhadap RUMAHAGEN-dokumen-updated (2).zip: exact downstream files ditemukan dan dibaca.</w:t>
      </w:r>
    </w:p>
    <w:p>
      <w:pPr>
        <w:pStyle w:val="ListBullet"/>
      </w:pPr>
      <w:r>
        <w:t>Project File-by-File Knowledge Inventory: ERD v1.4, API v1.3-FINAL-FIXED, Database Dictionary v1.0, Functional Specification v1.0 dan supporting artifacts diklasifikasikan sebagai CURRENT DOWNSTREAM / CURRENT BASELINE.</w:t>
      </w:r>
    </w:p>
    <w:p>
      <w:pPr>
        <w:pStyle w:val="ListBullet"/>
      </w:pPr>
      <w:r>
        <w:t>Cross-AEP Step 03: current baseline set memuat ERD v1.4, API v1.3-FINAL-FIXED, Authorization v1.1, PRD v1.3, User Flow v1.2, Dictionary v1.0, Functional/UI/Technical v1.0; physical synchronization belum dieksekusi pada saat change-map dibuat.</w:t>
      </w:r>
    </w:p>
    <w:p>
      <w:pPr>
        <w:pStyle w:val="ListBullet"/>
      </w:pPr>
      <w:r>
        <w:t>D6: global semantic baseline AEP1–AEP4 PASS, tetapi physical migration, production provider activation, final unresolved RBAC IDs, automatic failover, MADCR-049 evidence contract dan unresolved AEP3 physical design tetap HOLD.</w:t>
      </w:r>
    </w:p>
    <w:p>
      <w:pPr>
        <w:pStyle w:val="Heading1"/>
      </w:pPr>
      <w:r>
        <w:t>3. P1 Gate Result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P1 Verification</w:t>
            </w:r>
          </w:p>
        </w:tc>
        <w:tc>
          <w:tcPr>
            <w:tcW w:type="dxa" w:w="5112"/>
            <w:vAlign w:val="center"/>
            <w:shd w:fill="D9EAF7"/>
          </w:tcPr>
          <w:p>
            <w:r/>
            <w:r>
              <w:rPr>
                <w:b/>
                <w:sz w:val="16"/>
              </w:rPr>
              <w:t>PASS</w:t>
            </w:r>
          </w:p>
        </w:tc>
      </w:tr>
      <w:tr>
        <w:tc>
          <w:tcPr>
            <w:tcW w:type="dxa" w:w="5112"/>
            <w:vAlign w:val="center"/>
          </w:tcPr>
          <w:p>
            <w:r/>
            <w:r>
              <w:rPr>
                <w:b w:val="0"/>
                <w:sz w:val="16"/>
              </w:rPr>
              <w:t>Exact downstream evidence</w:t>
            </w:r>
          </w:p>
        </w:tc>
        <w:tc>
          <w:tcPr>
            <w:tcW w:type="dxa" w:w="5112"/>
            <w:vAlign w:val="center"/>
          </w:tcPr>
          <w:p>
            <w:r/>
            <w:r>
              <w:rPr>
                <w:b w:val="0"/>
                <w:sz w:val="16"/>
              </w:rPr>
              <w:t>VERIFIED FROM PROJECT ARCHIVE</w:t>
            </w:r>
          </w:p>
        </w:tc>
      </w:tr>
      <w:tr>
        <w:tc>
          <w:tcPr>
            <w:tcW w:type="dxa" w:w="5112"/>
            <w:vAlign w:val="center"/>
          </w:tcPr>
          <w:p>
            <w:r/>
            <w:r>
              <w:rPr>
                <w:b w:val="0"/>
                <w:sz w:val="16"/>
              </w:rPr>
              <w:t>Semantic delta exposure</w:t>
            </w:r>
          </w:p>
        </w:tc>
        <w:tc>
          <w:tcPr>
            <w:tcW w:type="dxa" w:w="5112"/>
            <w:vAlign w:val="center"/>
          </w:tcPr>
          <w:p>
            <w:r/>
            <w:r>
              <w:rPr>
                <w:b w:val="0"/>
                <w:sz w:val="16"/>
              </w:rPr>
              <w:t>MATERIAL — CONTROLLED EVOLVE REQUIRED</w:t>
            </w:r>
          </w:p>
        </w:tc>
      </w:tr>
      <w:tr>
        <w:tc>
          <w:tcPr>
            <w:tcW w:type="dxa" w:w="5112"/>
            <w:vAlign w:val="center"/>
          </w:tcPr>
          <w:p>
            <w:r/>
            <w:r>
              <w:rPr>
                <w:b w:val="0"/>
                <w:sz w:val="16"/>
              </w:rPr>
              <w:t>Physical implementation authorization</w:t>
            </w:r>
          </w:p>
        </w:tc>
        <w:tc>
          <w:tcPr>
            <w:tcW w:type="dxa" w:w="5112"/>
            <w:vAlign w:val="center"/>
          </w:tcPr>
          <w:p>
            <w:r/>
            <w:r>
              <w:rPr>
                <w:b w:val="0"/>
                <w:sz w:val="16"/>
              </w:rPr>
              <w:t>NOT GRANTED</w:t>
            </w:r>
          </w:p>
        </w:tc>
      </w:tr>
    </w:tbl>
    <w:p>
      <w:pPr>
        <w:pStyle w:val="Heading1"/>
      </w:pPr>
      <w:r>
        <w:t>4. Canonical Baseline Classification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Artifact</w:t>
            </w:r>
          </w:p>
        </w:tc>
        <w:tc>
          <w:tcPr>
            <w:tcW w:type="dxa" w:w="2045"/>
            <w:vAlign w:val="center"/>
            <w:shd w:fill="D9EAF7"/>
          </w:tcPr>
          <w:p>
            <w:r/>
            <w:r>
              <w:rPr>
                <w:b/>
                <w:sz w:val="16"/>
              </w:rPr>
              <w:t>Verified Baseline</w:t>
            </w:r>
          </w:p>
        </w:tc>
        <w:tc>
          <w:tcPr>
            <w:tcW w:type="dxa" w:w="2045"/>
            <w:vAlign w:val="center"/>
            <w:shd w:fill="D9EAF7"/>
          </w:tcPr>
          <w:p>
            <w:r/>
            <w:r>
              <w:rPr>
                <w:b/>
                <w:sz w:val="16"/>
              </w:rPr>
              <w:t>Classification</w:t>
            </w:r>
          </w:p>
        </w:tc>
        <w:tc>
          <w:tcPr>
            <w:tcW w:type="dxa" w:w="2045"/>
            <w:vAlign w:val="center"/>
            <w:shd w:fill="D9EAF7"/>
          </w:tcPr>
          <w:p>
            <w:r/>
            <w:r>
              <w:rPr>
                <w:b/>
                <w:sz w:val="16"/>
              </w:rPr>
              <w:t>Key Finding</w:t>
            </w:r>
          </w:p>
        </w:tc>
        <w:tc>
          <w:tcPr>
            <w:tcW w:type="dxa" w:w="2045"/>
            <w:vAlign w:val="center"/>
            <w:shd w:fill="D9EAF7"/>
          </w:tcPr>
          <w:p>
            <w:r/>
            <w:r>
              <w:rPr>
                <w:b/>
                <w:sz w:val="16"/>
              </w:rPr>
              <w:t>Next Treatment</w:t>
            </w:r>
          </w:p>
        </w:tc>
      </w:tr>
      <w:tr>
        <w:tc>
          <w:tcPr>
            <w:tcW w:type="dxa" w:w="2045"/>
            <w:vAlign w:val="center"/>
          </w:tcPr>
          <w:p>
            <w:r/>
            <w:r>
              <w:rPr>
                <w:b w:val="0"/>
                <w:sz w:val="16"/>
              </w:rPr>
              <w:t>ERD / Database</w:t>
            </w:r>
          </w:p>
        </w:tc>
        <w:tc>
          <w:tcPr>
            <w:tcW w:type="dxa" w:w="2045"/>
            <w:vAlign w:val="center"/>
          </w:tcPr>
          <w:p>
            <w:r/>
            <w:r>
              <w:rPr>
                <w:b w:val="0"/>
                <w:sz w:val="16"/>
              </w:rPr>
              <w:t>ERD v1.4; Dictionary v1.0</w:t>
            </w:r>
          </w:p>
        </w:tc>
        <w:tc>
          <w:tcPr>
            <w:tcW w:type="dxa" w:w="2045"/>
            <w:vAlign w:val="center"/>
          </w:tcPr>
          <w:p>
            <w:r/>
            <w:r>
              <w:rPr>
                <w:b w:val="0"/>
                <w:sz w:val="16"/>
              </w:rPr>
              <w:t>EVOLVE — HIGH/CRITICAL</w:t>
            </w:r>
          </w:p>
        </w:tc>
        <w:tc>
          <w:tcPr>
            <w:tcW w:type="dxa" w:w="2045"/>
            <w:vAlign w:val="center"/>
          </w:tcPr>
          <w:p>
            <w:r/>
            <w:r>
              <w:rPr>
                <w:b w:val="0"/>
                <w:sz w:val="16"/>
              </w:rPr>
              <w:t>44-table legacy/current baseline covers M01–M13 but has no dedicated Commercial/Payment, Learning Session, Provider Binding/Evidence, Awarding Path/Rule/Award Instance model. M04 enrollments/certificates and M05 events/event_registrations retain old semantics.</w:t>
            </w:r>
          </w:p>
        </w:tc>
        <w:tc>
          <w:tcPr>
            <w:tcW w:type="dxa" w:w="2045"/>
            <w:vAlign w:val="center"/>
          </w:tcPr>
          <w:p>
            <w:r/>
            <w:r>
              <w:rPr>
                <w:b w:val="0"/>
                <w:sz w:val="16"/>
              </w:rPr>
              <w:t>Controlled logical delta first; physical schema only after residual-dependent decisions.</w:t>
            </w:r>
          </w:p>
        </w:tc>
      </w:tr>
      <w:tr>
        <w:tc>
          <w:tcPr>
            <w:tcW w:type="dxa" w:w="2045"/>
            <w:vAlign w:val="center"/>
          </w:tcPr>
          <w:p>
            <w:r/>
            <w:r>
              <w:rPr>
                <w:b w:val="0"/>
                <w:sz w:val="16"/>
              </w:rPr>
              <w:t>API</w:t>
            </w:r>
          </w:p>
        </w:tc>
        <w:tc>
          <w:tcPr>
            <w:tcW w:type="dxa" w:w="2045"/>
            <w:vAlign w:val="center"/>
          </w:tcPr>
          <w:p>
            <w:r/>
            <w:r>
              <w:rPr>
                <w:b w:val="0"/>
                <w:sz w:val="16"/>
              </w:rPr>
              <w:t>v1.3-FINAL-FIXED</w:t>
            </w:r>
          </w:p>
        </w:tc>
        <w:tc>
          <w:tcPr>
            <w:tcW w:type="dxa" w:w="2045"/>
            <w:vAlign w:val="center"/>
          </w:tcPr>
          <w:p>
            <w:r/>
            <w:r>
              <w:rPr>
                <w:b w:val="0"/>
                <w:sz w:val="16"/>
              </w:rPr>
              <w:t>EVOLVE — CRITICAL</w:t>
            </w:r>
          </w:p>
        </w:tc>
        <w:tc>
          <w:tcPr>
            <w:tcW w:type="dxa" w:w="2045"/>
            <w:vAlign w:val="center"/>
          </w:tcPr>
          <w:p>
            <w:r/>
            <w:r>
              <w:rPr>
                <w:b w:val="0"/>
                <w:sz w:val="16"/>
              </w:rPr>
              <w:t>Learning API is Course Enrollment/Quiz/Certificate; Event API is Event/RSVP. Payment is only a future placeholder (/billing/*). No provider-neutral Session/Enrollment/Binding/Evidence contract and no Title/Awarding contract.</w:t>
            </w:r>
          </w:p>
        </w:tc>
        <w:tc>
          <w:tcPr>
            <w:tcW w:type="dxa" w:w="2045"/>
            <w:vAlign w:val="center"/>
          </w:tcPr>
          <w:p>
            <w:r/>
            <w:r>
              <w:rPr>
                <w:b w:val="0"/>
                <w:sz w:val="16"/>
              </w:rPr>
              <w:t>Produce semantic API delta; exact endpoints/payloads remain downstream design.</w:t>
            </w:r>
          </w:p>
        </w:tc>
      </w:tr>
      <w:tr>
        <w:tc>
          <w:tcPr>
            <w:tcW w:type="dxa" w:w="2045"/>
            <w:vAlign w:val="center"/>
          </w:tcPr>
          <w:p>
            <w:r/>
            <w:r>
              <w:rPr>
                <w:b w:val="0"/>
                <w:sz w:val="16"/>
              </w:rPr>
              <w:t>Authorization / RBAC</w:t>
            </w:r>
          </w:p>
        </w:tc>
        <w:tc>
          <w:tcPr>
            <w:tcW w:type="dxa" w:w="2045"/>
            <w:vAlign w:val="center"/>
          </w:tcPr>
          <w:p>
            <w:r/>
            <w:r>
              <w:rPr>
                <w:b w:val="0"/>
                <w:sz w:val="16"/>
              </w:rPr>
              <w:t>v1.1</w:t>
            </w:r>
          </w:p>
        </w:tc>
        <w:tc>
          <w:tcPr>
            <w:tcW w:type="dxa" w:w="2045"/>
            <w:vAlign w:val="center"/>
          </w:tcPr>
          <w:p>
            <w:r/>
            <w:r>
              <w:rPr>
                <w:b w:val="0"/>
                <w:sz w:val="16"/>
              </w:rPr>
              <w:t>EVOLVE — CRITICAL</w:t>
            </w:r>
          </w:p>
        </w:tc>
        <w:tc>
          <w:tcPr>
            <w:tcW w:type="dxa" w:w="2045"/>
            <w:vAlign w:val="center"/>
          </w:tcPr>
          <w:p>
            <w:r/>
            <w:r>
              <w:rPr>
                <w:b w:val="0"/>
                <w:sz w:val="16"/>
              </w:rPr>
              <w:t>Current permission model is M01–M13 role/module oriented. M04 permissions cover Course/Enrollment/Quiz/Certificate; M05 covers Event/EventRegistration. No final Session Host/Instructor taxonomy or Commercial Entitlement permission model is evidenced.</w:t>
            </w:r>
          </w:p>
        </w:tc>
        <w:tc>
          <w:tcPr>
            <w:tcW w:type="dxa" w:w="2045"/>
            <w:vAlign w:val="center"/>
          </w:tcPr>
          <w:p>
            <w:r/>
            <w:r>
              <w:rPr>
                <w:b w:val="0"/>
                <w:sz w:val="16"/>
              </w:rPr>
              <w:t>Semantic capability/authority delta; exact IDs depend on MADCR-053/054.</w:t>
            </w:r>
          </w:p>
        </w:tc>
      </w:tr>
      <w:tr>
        <w:tc>
          <w:tcPr>
            <w:tcW w:type="dxa" w:w="2045"/>
            <w:vAlign w:val="center"/>
          </w:tcPr>
          <w:p>
            <w:r/>
            <w:r>
              <w:rPr>
                <w:b w:val="0"/>
                <w:sz w:val="16"/>
              </w:rPr>
              <w:t>PRD</w:t>
            </w:r>
          </w:p>
        </w:tc>
        <w:tc>
          <w:tcPr>
            <w:tcW w:type="dxa" w:w="2045"/>
            <w:vAlign w:val="center"/>
          </w:tcPr>
          <w:p>
            <w:r/>
            <w:r>
              <w:rPr>
                <w:b w:val="0"/>
                <w:sz w:val="16"/>
              </w:rPr>
              <w:t>v1.3</w:t>
            </w:r>
          </w:p>
        </w:tc>
        <w:tc>
          <w:tcPr>
            <w:tcW w:type="dxa" w:w="2045"/>
            <w:vAlign w:val="center"/>
          </w:tcPr>
          <w:p>
            <w:r/>
            <w:r>
              <w:rPr>
                <w:b w:val="0"/>
                <w:sz w:val="16"/>
              </w:rPr>
              <w:t>EVOLVE — CRITICAL</w:t>
            </w:r>
          </w:p>
        </w:tc>
        <w:tc>
          <w:tcPr>
            <w:tcW w:type="dxa" w:w="2045"/>
            <w:vAlign w:val="center"/>
          </w:tcPr>
          <w:p>
            <w:r/>
            <w:r>
              <w:rPr>
                <w:b w:val="0"/>
                <w:sz w:val="16"/>
              </w:rPr>
              <w:t>Learning Center still treats live/webinar as calendar Event integration; Organization Subscription remains future-ready; payment remains future/placeholder semantics.</w:t>
            </w:r>
          </w:p>
        </w:tc>
        <w:tc>
          <w:tcPr>
            <w:tcW w:type="dxa" w:w="2045"/>
            <w:vAlign w:val="center"/>
          </w:tcPr>
          <w:p>
            <w:r/>
            <w:r>
              <w:rPr>
                <w:b w:val="0"/>
                <w:sz w:val="16"/>
              </w:rPr>
              <w:t>Controlled product delta preserving M04/M05 boundaries and D6 authority map.</w:t>
            </w:r>
          </w:p>
        </w:tc>
      </w:tr>
      <w:tr>
        <w:tc>
          <w:tcPr>
            <w:tcW w:type="dxa" w:w="2045"/>
            <w:vAlign w:val="center"/>
          </w:tcPr>
          <w:p>
            <w:r/>
            <w:r>
              <w:rPr>
                <w:b w:val="0"/>
                <w:sz w:val="16"/>
              </w:rPr>
              <w:t>User Flow</w:t>
            </w:r>
          </w:p>
        </w:tc>
        <w:tc>
          <w:tcPr>
            <w:tcW w:type="dxa" w:w="2045"/>
            <w:vAlign w:val="center"/>
          </w:tcPr>
          <w:p>
            <w:r/>
            <w:r>
              <w:rPr>
                <w:b w:val="0"/>
                <w:sz w:val="16"/>
              </w:rPr>
              <w:t>v1.2</w:t>
            </w:r>
          </w:p>
        </w:tc>
        <w:tc>
          <w:tcPr>
            <w:tcW w:type="dxa" w:w="2045"/>
            <w:vAlign w:val="center"/>
          </w:tcPr>
          <w:p>
            <w:r/>
            <w:r>
              <w:rPr>
                <w:b w:val="0"/>
                <w:sz w:val="16"/>
              </w:rPr>
              <w:t>EVOLVE — HIGH</w:t>
            </w:r>
          </w:p>
        </w:tc>
        <w:tc>
          <w:tcPr>
            <w:tcW w:type="dxa" w:w="2045"/>
            <w:vAlign w:val="center"/>
          </w:tcPr>
          <w:p>
            <w:r/>
            <w:r>
              <w:rPr>
                <w:b w:val="0"/>
                <w:sz w:val="16"/>
              </w:rPr>
              <w:t>Course flow is direct free enrollment → material → quiz → certificate. Live course creates an Event; Event flow is RSVP/reminder. No semantic Session Enrollment/provider access/evidence flow.</w:t>
            </w:r>
          </w:p>
        </w:tc>
        <w:tc>
          <w:tcPr>
            <w:tcW w:type="dxa" w:w="2045"/>
            <w:vAlign w:val="center"/>
          </w:tcPr>
          <w:p>
            <w:r/>
            <w:r>
              <w:rPr>
                <w:b w:val="0"/>
                <w:sz w:val="16"/>
              </w:rPr>
              <w:t>Controlled interaction delta.</w:t>
            </w:r>
          </w:p>
        </w:tc>
      </w:tr>
      <w:tr>
        <w:tc>
          <w:tcPr>
            <w:tcW w:type="dxa" w:w="2045"/>
            <w:vAlign w:val="center"/>
          </w:tcPr>
          <w:p>
            <w:r/>
            <w:r>
              <w:rPr>
                <w:b w:val="0"/>
                <w:sz w:val="16"/>
              </w:rPr>
              <w:t>Functional Specification</w:t>
            </w:r>
          </w:p>
        </w:tc>
        <w:tc>
          <w:tcPr>
            <w:tcW w:type="dxa" w:w="2045"/>
            <w:vAlign w:val="center"/>
          </w:tcPr>
          <w:p>
            <w:r/>
            <w:r>
              <w:rPr>
                <w:b w:val="0"/>
                <w:sz w:val="16"/>
              </w:rPr>
              <w:t>v1.0</w:t>
            </w:r>
          </w:p>
        </w:tc>
        <w:tc>
          <w:tcPr>
            <w:tcW w:type="dxa" w:w="2045"/>
            <w:vAlign w:val="center"/>
          </w:tcPr>
          <w:p>
            <w:r/>
            <w:r>
              <w:rPr>
                <w:b w:val="0"/>
                <w:sz w:val="16"/>
              </w:rPr>
              <w:t>EVOLVE — HIGH</w:t>
            </w:r>
          </w:p>
        </w:tc>
        <w:tc>
          <w:tcPr>
            <w:tcW w:type="dxa" w:w="2045"/>
            <w:vAlign w:val="center"/>
          </w:tcPr>
          <w:p>
            <w:r/>
            <w:r>
              <w:rPr>
                <w:b w:val="0"/>
                <w:sz w:val="16"/>
              </w:rPr>
              <w:t>Exists and is current downstream, but its content is aligned to the pre-AEP product model; it must follow PRD/User Flow semantic changes before implementation.</w:t>
            </w:r>
          </w:p>
        </w:tc>
        <w:tc>
          <w:tcPr>
            <w:tcW w:type="dxa" w:w="2045"/>
            <w:vAlign w:val="center"/>
          </w:tcPr>
          <w:p>
            <w:r/>
            <w:r>
              <w:rPr>
                <w:b w:val="0"/>
                <w:sz w:val="16"/>
              </w:rPr>
              <w:t>Reconcile after canonical PRD/User Flow deltas.</w:t>
            </w:r>
          </w:p>
        </w:tc>
      </w:tr>
      <w:tr>
        <w:tc>
          <w:tcPr>
            <w:tcW w:type="dxa" w:w="2045"/>
            <w:vAlign w:val="center"/>
          </w:tcPr>
          <w:p>
            <w:r/>
            <w:r>
              <w:rPr>
                <w:b w:val="0"/>
                <w:sz w:val="16"/>
              </w:rPr>
              <w:t>UI Specification</w:t>
            </w:r>
          </w:p>
        </w:tc>
        <w:tc>
          <w:tcPr>
            <w:tcW w:type="dxa" w:w="2045"/>
            <w:vAlign w:val="center"/>
          </w:tcPr>
          <w:p>
            <w:r/>
            <w:r>
              <w:rPr>
                <w:b w:val="0"/>
                <w:sz w:val="16"/>
              </w:rPr>
              <w:t>v1.0</w:t>
            </w:r>
          </w:p>
        </w:tc>
        <w:tc>
          <w:tcPr>
            <w:tcW w:type="dxa" w:w="2045"/>
            <w:vAlign w:val="center"/>
          </w:tcPr>
          <w:p>
            <w:r/>
            <w:r>
              <w:rPr>
                <w:b w:val="0"/>
                <w:sz w:val="16"/>
              </w:rPr>
              <w:t>EVOLVE — MEDIUM</w:t>
            </w:r>
          </w:p>
        </w:tc>
        <w:tc>
          <w:tcPr>
            <w:tcW w:type="dxa" w:w="2045"/>
            <w:vAlign w:val="center"/>
          </w:tcPr>
          <w:p>
            <w:r/>
            <w:r>
              <w:rPr>
                <w:b w:val="0"/>
                <w:sz w:val="16"/>
              </w:rPr>
              <w:t>UI baseline exists; no evidence that Session/provider/awarding semantic changes are incorporated.</w:t>
            </w:r>
          </w:p>
        </w:tc>
        <w:tc>
          <w:tcPr>
            <w:tcW w:type="dxa" w:w="2045"/>
            <w:vAlign w:val="center"/>
          </w:tcPr>
          <w:p>
            <w:r/>
            <w:r>
              <w:rPr>
                <w:b w:val="0"/>
                <w:sz w:val="16"/>
              </w:rPr>
              <w:t>Update only after functional/product semantics are stable.</w:t>
            </w:r>
          </w:p>
        </w:tc>
      </w:tr>
      <w:tr>
        <w:tc>
          <w:tcPr>
            <w:tcW w:type="dxa" w:w="2045"/>
            <w:vAlign w:val="center"/>
          </w:tcPr>
          <w:p>
            <w:r/>
            <w:r>
              <w:rPr>
                <w:b w:val="0"/>
                <w:sz w:val="16"/>
              </w:rPr>
              <w:t>Technical Specification</w:t>
            </w:r>
          </w:p>
        </w:tc>
        <w:tc>
          <w:tcPr>
            <w:tcW w:type="dxa" w:w="2045"/>
            <w:vAlign w:val="center"/>
          </w:tcPr>
          <w:p>
            <w:r/>
            <w:r>
              <w:rPr>
                <w:b w:val="0"/>
                <w:sz w:val="16"/>
              </w:rPr>
              <w:t>v1.0</w:t>
            </w:r>
          </w:p>
        </w:tc>
        <w:tc>
          <w:tcPr>
            <w:tcW w:type="dxa" w:w="2045"/>
            <w:vAlign w:val="center"/>
          </w:tcPr>
          <w:p>
            <w:r/>
            <w:r>
              <w:rPr>
                <w:b w:val="0"/>
                <w:sz w:val="16"/>
              </w:rPr>
              <w:t>EVOLVE — HIGH</w:t>
            </w:r>
          </w:p>
        </w:tc>
        <w:tc>
          <w:tcPr>
            <w:tcW w:type="dxa" w:w="2045"/>
            <w:vAlign w:val="center"/>
          </w:tcPr>
          <w:p>
            <w:r/>
            <w:r>
              <w:rPr>
                <w:b w:val="0"/>
                <w:sz w:val="16"/>
              </w:rPr>
              <w:t>Technical baseline exists but predates AEP1–AEP4 physical synchronization; it must carry provider adapter, idempotency, provenance and domain-boundary guardrails.</w:t>
            </w:r>
          </w:p>
        </w:tc>
        <w:tc>
          <w:tcPr>
            <w:tcW w:type="dxa" w:w="2045"/>
            <w:vAlign w:val="center"/>
          </w:tcPr>
          <w:p>
            <w:r/>
            <w:r>
              <w:rPr>
                <w:b w:val="0"/>
                <w:sz w:val="16"/>
              </w:rPr>
              <w:t>Update after architecture delta specifications.</w:t>
            </w:r>
          </w:p>
        </w:tc>
      </w:tr>
      <w:tr>
        <w:tc>
          <w:tcPr>
            <w:tcW w:type="dxa" w:w="2045"/>
            <w:vAlign w:val="center"/>
          </w:tcPr>
          <w:p>
            <w:r/>
            <w:r>
              <w:rPr>
                <w:b w:val="0"/>
                <w:sz w:val="16"/>
              </w:rPr>
              <w:t>Migration SQL</w:t>
            </w:r>
          </w:p>
        </w:tc>
        <w:tc>
          <w:tcPr>
            <w:tcW w:type="dxa" w:w="2045"/>
            <w:vAlign w:val="center"/>
          </w:tcPr>
          <w:p>
            <w:r/>
            <w:r>
              <w:rPr>
                <w:b w:val="0"/>
                <w:sz w:val="16"/>
              </w:rPr>
              <w:t>15 migration chain + -FIXED copies</w:t>
            </w:r>
          </w:p>
        </w:tc>
        <w:tc>
          <w:tcPr>
            <w:tcW w:type="dxa" w:w="2045"/>
            <w:vAlign w:val="center"/>
          </w:tcPr>
          <w:p>
            <w:r/>
            <w:r>
              <w:rPr>
                <w:b w:val="0"/>
                <w:sz w:val="16"/>
              </w:rPr>
              <w:t>HOLD / EXECUTION CANDIDATE</w:t>
            </w:r>
          </w:p>
        </w:tc>
        <w:tc>
          <w:tcPr>
            <w:tcW w:type="dxa" w:w="2045"/>
            <w:vAlign w:val="center"/>
          </w:tcPr>
          <w:p>
            <w:r/>
            <w:r>
              <w:rPr>
                <w:b w:val="0"/>
                <w:sz w:val="16"/>
              </w:rPr>
              <w:t>Archive contains 15 migration stages and corrected -FIXED variants for 0007–0010. Current Project State states migration is written but not executed; live DB is not evidenced.</w:t>
            </w:r>
          </w:p>
        </w:tc>
        <w:tc>
          <w:tcPr>
            <w:tcW w:type="dxa" w:w="2045"/>
            <w:vAlign w:val="center"/>
          </w:tcPr>
          <w:p>
            <w:r/>
            <w:r>
              <w:rPr>
                <w:b w:val="0"/>
                <w:sz w:val="16"/>
              </w:rPr>
              <w:t>Do not execute. First canonicalize candidate selection and obtain technical execution gate.</w:t>
            </w:r>
          </w:p>
        </w:tc>
      </w:tr>
    </w:tbl>
    <w:p>
      <w:pPr>
        <w:pStyle w:val="Heading1"/>
      </w:pPr>
      <w:r>
        <w:t>5. Material Findings</w:t>
      </w:r>
    </w:p>
    <w:p>
      <w:pPr>
        <w:pStyle w:val="ListBullet"/>
      </w:pPr>
      <w:r>
        <w:t>Commercial/Payment is not physically represented in the verified ERD. API only contains a non-mandatory future billing placeholder. This confirms a downstream delta, not a conflict with MADCR-011.</w:t>
      </w:r>
    </w:p>
    <w:p>
      <w:pPr>
        <w:pStyle w:val="ListBullet"/>
      </w:pPr>
      <w:r>
        <w:t>Learning Session is not a table/entity family in the verified ERD. Existing M04 Course Enrollment and M05 EventRegistration must remain separate.</w:t>
      </w:r>
    </w:p>
    <w:p>
      <w:pPr>
        <w:pStyle w:val="ListBullet"/>
      </w:pPr>
      <w:r>
        <w:t>Provider identity/session IDs are not represented as semantic learning entities in the current baseline; AEP4 requires provider-neutral Binding and normalized evidence behind an adapter.</w:t>
      </w:r>
    </w:p>
    <w:p>
      <w:pPr>
        <w:pStyle w:val="ListBullet"/>
      </w:pPr>
      <w:r>
        <w:t>Awarding is not represented as a complete semantic family in the current ERD/API/RBAC baseline; M04 Certificate must not be repurposed as Award Instance.</w:t>
      </w:r>
    </w:p>
    <w:p>
      <w:pPr>
        <w:pStyle w:val="ListBullet"/>
      </w:pPr>
      <w:r>
        <w:t>RBAC currently has exact permission IDs for legacy modules but not the final cross-domain Session/Commercial/Awarding authority taxonomy. MADCR-053/054 remain real dependencies.</w:t>
      </w:r>
    </w:p>
    <w:p>
      <w:pPr>
        <w:pStyle w:val="ListBullet"/>
      </w:pPr>
      <w:r>
        <w:t>Migration SQL is implementation candidate material, not proof of a live database. Current Project State explicitly records database live as not established and application implementation as 0% in its rev.10 baseline.</w:t>
      </w:r>
    </w:p>
    <w:p>
      <w:pPr>
        <w:pStyle w:val="Heading1"/>
      </w:pPr>
      <w:r>
        <w:t>6. KEEP / EVOLVE / MISSING / OPEN / LEGACY / CONFLICT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6"/>
              </w:rPr>
              <w:t>Classification</w:t>
            </w:r>
          </w:p>
        </w:tc>
        <w:tc>
          <w:tcPr>
            <w:tcW w:type="dxa" w:w="3408"/>
            <w:vAlign w:val="center"/>
            <w:shd w:fill="D9EAF7"/>
          </w:tcPr>
          <w:p>
            <w:r/>
            <w:r>
              <w:rPr>
                <w:b/>
                <w:sz w:val="16"/>
              </w:rPr>
              <w:t>Verified Examples</w:t>
            </w:r>
          </w:p>
        </w:tc>
        <w:tc>
          <w:tcPr>
            <w:tcW w:type="dxa" w:w="3408"/>
            <w:vAlign w:val="center"/>
            <w:shd w:fill="D9EAF7"/>
          </w:tcPr>
          <w:p>
            <w:r/>
            <w:r>
              <w:rPr>
                <w:b/>
                <w:sz w:val="16"/>
              </w:rPr>
              <w:t>Disposition</w:t>
            </w:r>
          </w:p>
        </w:tc>
      </w:tr>
      <w:tr>
        <w:tc>
          <w:tcPr>
            <w:tcW w:type="dxa" w:w="3408"/>
            <w:vAlign w:val="center"/>
          </w:tcPr>
          <w:p>
            <w:r/>
            <w:r>
              <w:rPr>
                <w:b w:val="0"/>
                <w:sz w:val="16"/>
              </w:rPr>
              <w:t>KEEP</w:t>
            </w:r>
          </w:p>
        </w:tc>
        <w:tc>
          <w:tcPr>
            <w:tcW w:type="dxa" w:w="3408"/>
            <w:vAlign w:val="center"/>
          </w:tcPr>
          <w:p>
            <w:r/>
            <w:r>
              <w:rPr>
                <w:b w:val="0"/>
                <w:sz w:val="16"/>
              </w:rPr>
              <w:t>M04 Course Enrollment; M05 Event Registration; existing RBAC foundation; existing API conventions; provider-neutral architectural direction</w:t>
            </w:r>
          </w:p>
        </w:tc>
        <w:tc>
          <w:tcPr>
            <w:tcW w:type="dxa" w:w="3408"/>
            <w:vAlign w:val="center"/>
          </w:tcPr>
          <w:p>
            <w:r/>
            <w:r>
              <w:rPr>
                <w:b w:val="0"/>
                <w:sz w:val="16"/>
              </w:rPr>
              <w:t>Preserve semantics; do not reinterpret as new AEP concepts.</w:t>
            </w:r>
          </w:p>
        </w:tc>
      </w:tr>
      <w:tr>
        <w:tc>
          <w:tcPr>
            <w:tcW w:type="dxa" w:w="3408"/>
            <w:vAlign w:val="center"/>
          </w:tcPr>
          <w:p>
            <w:r/>
            <w:r>
              <w:rPr>
                <w:b w:val="0"/>
                <w:sz w:val="16"/>
              </w:rPr>
              <w:t>EVOLVE</w:t>
            </w:r>
          </w:p>
        </w:tc>
        <w:tc>
          <w:tcPr>
            <w:tcW w:type="dxa" w:w="3408"/>
            <w:vAlign w:val="center"/>
          </w:tcPr>
          <w:p>
            <w:r/>
            <w:r>
              <w:rPr>
                <w:b w:val="0"/>
                <w:sz w:val="16"/>
              </w:rPr>
              <w:t>ERD, API, PRD, User Flow, Functional, UI, Technical, RBAC</w:t>
            </w:r>
          </w:p>
        </w:tc>
        <w:tc>
          <w:tcPr>
            <w:tcW w:type="dxa" w:w="3408"/>
            <w:vAlign w:val="center"/>
          </w:tcPr>
          <w:p>
            <w:r/>
            <w:r>
              <w:rPr>
                <w:b w:val="0"/>
                <w:sz w:val="16"/>
              </w:rPr>
              <w:t>Translate approved AEP1–AEP4 semantic contracts into downstream baseline.</w:t>
            </w:r>
          </w:p>
        </w:tc>
      </w:tr>
      <w:tr>
        <w:tc>
          <w:tcPr>
            <w:tcW w:type="dxa" w:w="3408"/>
            <w:vAlign w:val="center"/>
          </w:tcPr>
          <w:p>
            <w:r/>
            <w:r>
              <w:rPr>
                <w:b w:val="0"/>
                <w:sz w:val="16"/>
              </w:rPr>
              <w:t>MISSING</w:t>
            </w:r>
          </w:p>
        </w:tc>
        <w:tc>
          <w:tcPr>
            <w:tcW w:type="dxa" w:w="3408"/>
            <w:vAlign w:val="center"/>
          </w:tcPr>
          <w:p>
            <w:r/>
            <w:r>
              <w:rPr>
                <w:b w:val="0"/>
                <w:sz w:val="16"/>
              </w:rPr>
              <w:t>Commercial/Payment logical model; Learning Session; Session Enrollment; Provider Binding/Evidence; Awarding Path/Rule/Award Instance in downstream baseline</w:t>
            </w:r>
          </w:p>
        </w:tc>
        <w:tc>
          <w:tcPr>
            <w:tcW w:type="dxa" w:w="3408"/>
            <w:vAlign w:val="center"/>
          </w:tcPr>
          <w:p>
            <w:r/>
            <w:r>
              <w:rPr>
                <w:b w:val="0"/>
                <w:sz w:val="16"/>
              </w:rPr>
              <w:t>Create controlled delta specification; no invented physical details.</w:t>
            </w:r>
          </w:p>
        </w:tc>
      </w:tr>
      <w:tr>
        <w:tc>
          <w:tcPr>
            <w:tcW w:type="dxa" w:w="3408"/>
            <w:vAlign w:val="center"/>
          </w:tcPr>
          <w:p>
            <w:r/>
            <w:r>
              <w:rPr>
                <w:b w:val="0"/>
                <w:sz w:val="16"/>
              </w:rPr>
              <w:t>OPEN</w:t>
            </w:r>
          </w:p>
        </w:tc>
        <w:tc>
          <w:tcPr>
            <w:tcW w:type="dxa" w:w="3408"/>
            <w:vAlign w:val="center"/>
          </w:tcPr>
          <w:p>
            <w:r/>
            <w:r>
              <w:rPr>
                <w:b w:val="0"/>
                <w:sz w:val="16"/>
              </w:rPr>
              <w:t>MADCR-049; MADCR-053/054; AEP3-OD-02…05; AEP4-OD-08; Session↔Event, attendance, capacity, visibility, recording, provider capability</w:t>
            </w:r>
          </w:p>
        </w:tc>
        <w:tc>
          <w:tcPr>
            <w:tcW w:type="dxa" w:w="3408"/>
            <w:vAlign w:val="center"/>
          </w:tcPr>
          <w:p>
            <w:r/>
            <w:r>
              <w:rPr>
                <w:b w:val="0"/>
                <w:sz w:val="16"/>
              </w:rPr>
              <w:t>Carry forward; do not silently close.</w:t>
            </w:r>
          </w:p>
        </w:tc>
      </w:tr>
      <w:tr>
        <w:tc>
          <w:tcPr>
            <w:tcW w:type="dxa" w:w="3408"/>
            <w:vAlign w:val="center"/>
          </w:tcPr>
          <w:p>
            <w:r/>
            <w:r>
              <w:rPr>
                <w:b w:val="0"/>
                <w:sz w:val="16"/>
              </w:rPr>
              <w:t>LEGACY / HISTORICAL</w:t>
            </w:r>
          </w:p>
        </w:tc>
        <w:tc>
          <w:tcPr>
            <w:tcW w:type="dxa" w:w="3408"/>
            <w:vAlign w:val="center"/>
          </w:tcPr>
          <w:p>
            <w:r/>
            <w:r>
              <w:rPr>
                <w:b w:val="0"/>
                <w:sz w:val="16"/>
              </w:rPr>
              <w:t>Non-FIXED duplicate migration candidates; older project-control snapshots; older Learning Session v2 where conflicting</w:t>
            </w:r>
          </w:p>
        </w:tc>
        <w:tc>
          <w:tcPr>
            <w:tcW w:type="dxa" w:w="3408"/>
            <w:vAlign w:val="center"/>
          </w:tcPr>
          <w:p>
            <w:r/>
            <w:r>
              <w:rPr>
                <w:b w:val="0"/>
                <w:sz w:val="16"/>
              </w:rPr>
              <w:t>Retain for audit; never use as implementation authority.</w:t>
            </w:r>
          </w:p>
        </w:tc>
      </w:tr>
      <w:tr>
        <w:tc>
          <w:tcPr>
            <w:tcW w:type="dxa" w:w="3408"/>
            <w:vAlign w:val="center"/>
          </w:tcPr>
          <w:p>
            <w:r/>
            <w:r>
              <w:rPr>
                <w:b w:val="0"/>
                <w:sz w:val="16"/>
              </w:rPr>
              <w:t>CONFLICT</w:t>
            </w:r>
          </w:p>
        </w:tc>
        <w:tc>
          <w:tcPr>
            <w:tcW w:type="dxa" w:w="3408"/>
            <w:vAlign w:val="center"/>
          </w:tcPr>
          <w:p>
            <w:r/>
            <w:r>
              <w:rPr>
                <w:b w:val="0"/>
                <w:sz w:val="16"/>
              </w:rPr>
              <w:t>No hard contradiction found between verified downstream baseline and governing AEP semantics</w:t>
            </w:r>
          </w:p>
        </w:tc>
        <w:tc>
          <w:tcPr>
            <w:tcW w:type="dxa" w:w="3408"/>
            <w:vAlign w:val="center"/>
          </w:tcPr>
          <w:p>
            <w:r/>
            <w:r>
              <w:rPr>
                <w:b w:val="0"/>
                <w:sz w:val="16"/>
              </w:rPr>
              <w:t>Treat as controlled evolution gap, not reopening of approved decisions.</w:t>
            </w:r>
          </w:p>
        </w:tc>
      </w:tr>
    </w:tbl>
    <w:p>
      <w:pPr>
        <w:pStyle w:val="Heading1"/>
      </w:pPr>
      <w:r>
        <w:t>7. Implementation Safety Decision</w:t>
      </w:r>
    </w:p>
    <w:p>
      <w:pPr>
        <w:pStyle w:val="ListBullet"/>
      </w:pPr>
      <w:r>
        <w:t>NO ERD physical rewrite yet.</w:t>
      </w:r>
    </w:p>
    <w:p>
      <w:pPr>
        <w:pStyle w:val="ListBullet"/>
      </w:pPr>
      <w:r>
        <w:t>NO database migration execution yet.</w:t>
      </w:r>
    </w:p>
    <w:p>
      <w:pPr>
        <w:pStyle w:val="ListBullet"/>
      </w:pPr>
      <w:r>
        <w:t>NO final API payload/endpoint lock yet where open governance dependencies apply.</w:t>
      </w:r>
    </w:p>
    <w:p>
      <w:pPr>
        <w:pStyle w:val="ListBullet"/>
      </w:pPr>
      <w:r>
        <w:t>NO final RBAC permission ID creation for Session/Commercial/Awarding until MADCR-053/054 treatment is complete.</w:t>
      </w:r>
    </w:p>
    <w:p>
      <w:pPr>
        <w:pStyle w:val="ListBullet"/>
      </w:pPr>
      <w:r>
        <w:t>NO provider production binding or automatic failover implementation while provider capability evidence and OD-08 remain open.</w:t>
      </w:r>
    </w:p>
    <w:p>
      <w:pPr>
        <w:pStyle w:val="ListBullet"/>
      </w:pPr>
      <w:r>
        <w:t>NO repurposing of M04 Certificate, M04 Enrollment, or M05 EventRegistration.</w:t>
      </w:r>
    </w:p>
    <w:p>
      <w:pPr>
        <w:pStyle w:val="Heading1"/>
      </w:pPr>
      <w:r>
        <w:t>8. P1 Conclusion</w:t>
      </w:r>
    </w:p>
    <w:p>
      <w:r>
        <w:rPr>
          <w:b/>
        </w:rPr>
        <w:t>P1 = PASS WITH CONTROLLED DELTAS.</w:t>
      </w:r>
    </w:p>
    <w:p>
      <w:r>
        <w:t>Exact downstream evidence is now verified from the project archive. The important result is not that the old baseline is wrong, but that it is a pre-AEP physical/logical downstream baseline that now requires controlled evolution. No hard contradiction was found that requires reopening an approved AEP/MADCR decision.</w:t>
      </w:r>
    </w:p>
    <w:p>
      <w:pPr>
        <w:pStyle w:val="Heading1"/>
      </w:pPr>
      <w:r>
        <w:t>9. Next Step — P2 Physical Design Readiness / Controlled Delta Specification</w:t>
      </w:r>
    </w:p>
    <w:p>
      <w:r>
        <w:t>Langkah berikutnya adalah menyusun controlled delta specification berdasarkan P1. P2 akan dimulai dari D1 Commercial/Payment karena dependency order Cross-AEP menempatkan Commercial/Payment sebagai foundation, lalu mengalir ke Learning Economy, Learning Session, dan Awarding. P2 tidak langsung menjalankan migration; ia menghasilkan delta yang dapat ditelusuri dan menentukan bagian mana yang harus menunggu residual governance.</w:t>
      </w:r>
    </w:p>
    <w:p>
      <w:pPr>
        <w:pStyle w:val="ListNumber"/>
      </w:pPr>
      <w:r>
        <w:t>D1: Commercial/Payment logical ERD + API + RBAC + PRD/User Flow delta.</w:t>
      </w:r>
    </w:p>
    <w:p>
      <w:pPr>
        <w:pStyle w:val="ListNumber"/>
      </w:pPr>
      <w:r>
        <w:t>D2: Learning Economy delta dan payment→LP handoff, dengan MADCR-049 tetap conditional.</w:t>
      </w:r>
    </w:p>
    <w:p>
      <w:pPr>
        <w:pStyle w:val="ListNumber"/>
      </w:pPr>
      <w:r>
        <w:t>D3: Learning Session + Provider Adapter delta, dengan MADCR-053/054 dan OD-08 controlled.</w:t>
      </w:r>
    </w:p>
    <w:p>
      <w:pPr>
        <w:pStyle w:val="ListNumber"/>
      </w:pPr>
      <w:r>
        <w:t>D4: Awarding delta, dengan AEP3 OD-02…05 controlled.</w:t>
      </w:r>
    </w:p>
    <w:p>
      <w:pPr>
        <w:pStyle w:val="ListNumber"/>
      </w:pPr>
      <w:r>
        <w:t>Cross-document traceability for every proposed downstream change.</w:t>
      </w:r>
    </w:p>
    <w:p>
      <w:pPr>
        <w:pStyle w:val="Heading1"/>
      </w:pPr>
      <w:r>
        <w:t>10. User Open Decision Assessment</w:t>
      </w:r>
    </w:p>
    <w:p>
      <w:r>
        <w:t>Tidak ada Open Decision baru yang dibutuhkan untuk memulai P2. Jika P2 menemukan bahwa suatu physical design membutuhkan keputusan baru yang belum ditetapkan oleh governance, pekerjaan pada bagian tersebut akan dihentikan dan Open Decision akan diajukan sebelum baseline diubah.</w:t>
      </w:r>
    </w:p>
    <w:p>
      <w:pPr>
        <w:pStyle w:val="Heading1"/>
      </w:pPr>
      <w:r>
        <w:t>11. Source Integrity Note</w:t>
      </w:r>
    </w:p>
    <w:p>
      <w:r>
        <w:t>P1 sengaja membedakan evidence langsung dari archive dengan reference-only statements. Exact downstream files yang sebelumnya sempat disebut 'referenced but unverified' kini ditemukan langsung di archive dan telah diperiksa. Project File-by-File Inventory juga mengklasifikasikan ERD/API/Dictionary/Functional sebagai current downstream artifacts. D6 tetap menjadi authority untuk status global semantic synchronization dan implementation holds.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