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RUMAHAGEN</w:t>
        <w:br/>
        <w:t>P3 — TECHNICAL EXECUTION AUTHORIZATION GATE</w:t>
      </w:r>
    </w:p>
    <w:p>
      <w:pPr>
        <w:jc w:val="center"/>
      </w:pPr>
      <w:r>
        <w:rPr>
          <w:b/>
        </w:rPr>
        <w:t>Version 1.0 | 16 August 2026 | Controlled Gate — Implementation Authorization NOT GRANTED</w:t>
      </w:r>
    </w:p>
    <w:p>
      <w:pPr>
        <w:pStyle w:val="Heading1"/>
      </w:pPr>
      <w:r>
        <w:t>1. Purpose</w:t>
      </w:r>
    </w:p>
    <w:p>
      <w:r>
        <w:t>P3 menentukan apakah hasil D6 dan downstream semantic synchronization sudah cukup untuk membuka physical implementation. P3 tidak mengubah AEP/MADCR/ADR, tidak membuat physical schema, dan tidak mengeksekusi migration. P3 juga mengoreksi urutan kerja: P2 semantic/downstream synchronization ternyata sudah selesai di corpus melalui D1–D4, sehingga tidak boleh dikerjakan ulang.</w:t>
      </w:r>
    </w:p>
    <w:p>
      <w:pPr>
        <w:pStyle w:val="Heading1"/>
      </w:pPr>
      <w:r>
        <w:t>2. P2 Status Reconciliation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6"/>
              </w:rPr>
              <w:t>P2 Cluster</w:t>
            </w:r>
          </w:p>
        </w:tc>
        <w:tc>
          <w:tcPr>
            <w:tcW w:type="dxa" w:w="2556"/>
            <w:vAlign w:val="center"/>
            <w:shd w:fill="D9EAF7"/>
          </w:tcPr>
          <w:p>
            <w:r/>
            <w:r>
              <w:rPr>
                <w:b/>
                <w:sz w:val="16"/>
              </w:rPr>
              <w:t>Evidence</w:t>
            </w:r>
          </w:p>
        </w:tc>
        <w:tc>
          <w:tcPr>
            <w:tcW w:type="dxa" w:w="2556"/>
            <w:vAlign w:val="center"/>
            <w:shd w:fill="D9EAF7"/>
          </w:tcPr>
          <w:p>
            <w:r/>
            <w:r>
              <w:rPr>
                <w:b/>
                <w:sz w:val="16"/>
              </w:rPr>
              <w:t>Gate</w:t>
            </w:r>
          </w:p>
        </w:tc>
        <w:tc>
          <w:tcPr>
            <w:tcW w:type="dxa" w:w="2556"/>
            <w:vAlign w:val="center"/>
            <w:shd w:fill="D9EAF7"/>
          </w:tcPr>
          <w:p>
            <w:r/>
            <w:r>
              <w:rPr>
                <w:b/>
                <w:sz w:val="16"/>
              </w:rPr>
              <w:t>Treatment</w:t>
            </w:r>
          </w:p>
        </w:tc>
      </w:tr>
      <w:tr>
        <w:tc>
          <w:tcPr>
            <w:tcW w:type="dxa" w:w="2556"/>
            <w:vAlign w:val="center"/>
          </w:tcPr>
          <w:p>
            <w:r/>
            <w:r>
              <w:rPr>
                <w:b w:val="0"/>
                <w:sz w:val="16"/>
              </w:rPr>
              <w:t>D1 Commercial/Payment</w:t>
            </w:r>
          </w:p>
        </w:tc>
        <w:tc>
          <w:tcPr>
            <w:tcW w:type="dxa" w:w="2556"/>
            <w:vAlign w:val="center"/>
          </w:tcPr>
          <w:p>
            <w:r/>
            <w:r>
              <w:rPr>
                <w:b w:val="0"/>
                <w:sz w:val="16"/>
              </w:rPr>
              <w:t>STEP 05 D1 Post-Edit Reconciliation</w:t>
            </w:r>
          </w:p>
        </w:tc>
        <w:tc>
          <w:tcPr>
            <w:tcW w:type="dxa" w:w="2556"/>
            <w:vAlign w:val="center"/>
          </w:tcPr>
          <w:p>
            <w:r/>
            <w:r>
              <w:rPr>
                <w:b w:val="0"/>
                <w:sz w:val="16"/>
              </w:rPr>
              <w:t>PASS</w:t>
            </w:r>
          </w:p>
        </w:tc>
        <w:tc>
          <w:tcPr>
            <w:tcW w:type="dxa" w:w="2556"/>
            <w:vAlign w:val="center"/>
          </w:tcPr>
          <w:p>
            <w:r/>
            <w:r>
              <w:rPr>
                <w:b w:val="0"/>
                <w:sz w:val="16"/>
              </w:rPr>
              <w:t>Already complete; physical details held.</w:t>
            </w:r>
          </w:p>
        </w:tc>
      </w:tr>
      <w:tr>
        <w:tc>
          <w:tcPr>
            <w:tcW w:type="dxa" w:w="2556"/>
            <w:vAlign w:val="center"/>
          </w:tcPr>
          <w:p>
            <w:r/>
            <w:r>
              <w:rPr>
                <w:b w:val="0"/>
                <w:sz w:val="16"/>
              </w:rPr>
              <w:t>D2 Learning Economy</w:t>
            </w:r>
          </w:p>
        </w:tc>
        <w:tc>
          <w:tcPr>
            <w:tcW w:type="dxa" w:w="2556"/>
            <w:vAlign w:val="center"/>
          </w:tcPr>
          <w:p>
            <w:r/>
            <w:r>
              <w:rPr>
                <w:b w:val="0"/>
                <w:sz w:val="16"/>
              </w:rPr>
              <w:t>STEP 06 D2 Post-Edit Reconciliation</w:t>
            </w:r>
          </w:p>
        </w:tc>
        <w:tc>
          <w:tcPr>
            <w:tcW w:type="dxa" w:w="2556"/>
            <w:vAlign w:val="center"/>
          </w:tcPr>
          <w:p>
            <w:r/>
            <w:r>
              <w:rPr>
                <w:b w:val="0"/>
                <w:sz w:val="16"/>
              </w:rPr>
              <w:t>PASS WITH CONTROLLED RESIDUAL</w:t>
            </w:r>
          </w:p>
        </w:tc>
        <w:tc>
          <w:tcPr>
            <w:tcW w:type="dxa" w:w="2556"/>
            <w:vAlign w:val="center"/>
          </w:tcPr>
          <w:p>
            <w:r/>
            <w:r>
              <w:rPr>
                <w:b w:val="0"/>
                <w:sz w:val="16"/>
              </w:rPr>
              <w:t>MADCR-049 remains open.</w:t>
            </w:r>
          </w:p>
        </w:tc>
      </w:tr>
      <w:tr>
        <w:tc>
          <w:tcPr>
            <w:tcW w:type="dxa" w:w="2556"/>
            <w:vAlign w:val="center"/>
          </w:tcPr>
          <w:p>
            <w:r/>
            <w:r>
              <w:rPr>
                <w:b w:val="0"/>
                <w:sz w:val="16"/>
              </w:rPr>
              <w:t>D3 Learning Session</w:t>
            </w:r>
          </w:p>
        </w:tc>
        <w:tc>
          <w:tcPr>
            <w:tcW w:type="dxa" w:w="2556"/>
            <w:vAlign w:val="center"/>
          </w:tcPr>
          <w:p>
            <w:r/>
            <w:r>
              <w:rPr>
                <w:b w:val="0"/>
                <w:sz w:val="16"/>
              </w:rPr>
              <w:t>STEP 07 D3 Post-Edit Reconciliation</w:t>
            </w:r>
          </w:p>
        </w:tc>
        <w:tc>
          <w:tcPr>
            <w:tcW w:type="dxa" w:w="2556"/>
            <w:vAlign w:val="center"/>
          </w:tcPr>
          <w:p>
            <w:r/>
            <w:r>
              <w:rPr>
                <w:b w:val="0"/>
                <w:sz w:val="16"/>
              </w:rPr>
              <w:t>PASS WITH CONTROLLED RESIDUALS</w:t>
            </w:r>
          </w:p>
        </w:tc>
        <w:tc>
          <w:tcPr>
            <w:tcW w:type="dxa" w:w="2556"/>
            <w:vAlign w:val="center"/>
          </w:tcPr>
          <w:p>
            <w:r/>
            <w:r>
              <w:rPr>
                <w:b w:val="0"/>
                <w:sz w:val="16"/>
              </w:rPr>
              <w:t>MADCR-053/054, OD-08 and downstream session details remain controlled.</w:t>
            </w:r>
          </w:p>
        </w:tc>
      </w:tr>
      <w:tr>
        <w:tc>
          <w:tcPr>
            <w:tcW w:type="dxa" w:w="2556"/>
            <w:vAlign w:val="center"/>
          </w:tcPr>
          <w:p>
            <w:r/>
            <w:r>
              <w:rPr>
                <w:b w:val="0"/>
                <w:sz w:val="16"/>
              </w:rPr>
              <w:t>D4 Title/Awarding</w:t>
            </w:r>
          </w:p>
        </w:tc>
        <w:tc>
          <w:tcPr>
            <w:tcW w:type="dxa" w:w="2556"/>
            <w:vAlign w:val="center"/>
          </w:tcPr>
          <w:p>
            <w:r/>
            <w:r>
              <w:rPr>
                <w:b w:val="0"/>
                <w:sz w:val="16"/>
              </w:rPr>
              <w:t>STEP 08 D4 Post-Edit Reconciliation</w:t>
            </w:r>
          </w:p>
        </w:tc>
        <w:tc>
          <w:tcPr>
            <w:tcW w:type="dxa" w:w="2556"/>
            <w:vAlign w:val="center"/>
          </w:tcPr>
          <w:p>
            <w:r/>
            <w:r>
              <w:rPr>
                <w:b w:val="0"/>
                <w:sz w:val="16"/>
              </w:rPr>
              <w:t>PASS WITH CONTROLLED OPEN ITEMS</w:t>
            </w:r>
          </w:p>
        </w:tc>
        <w:tc>
          <w:tcPr>
            <w:tcW w:type="dxa" w:w="2556"/>
            <w:vAlign w:val="center"/>
          </w:tcPr>
          <w:p>
            <w:r/>
            <w:r>
              <w:rPr>
                <w:b w:val="0"/>
                <w:sz w:val="16"/>
              </w:rPr>
              <w:t>AEP3 OD-02…05 remain downstream.</w:t>
            </w:r>
          </w:p>
        </w:tc>
      </w:tr>
    </w:tbl>
    <w:p>
      <w:r>
        <w:t>Karena D1–D4 sudah memiliki post-edit reconciliation dan D5/D6 sudah melewati cross-domain/global gate, P2 tidak perlu diulang. P1 yang baru selesai hanya mengkonfirmasi evidence baseline dan memperkuat bahwa delta tersebut memang merupakan controlled evolution, bukan pekerjaan semantic baru.</w:t>
      </w:r>
    </w:p>
    <w:p>
      <w:pPr>
        <w:pStyle w:val="Heading1"/>
      </w:pPr>
      <w:r>
        <w:t>3. Governing Evidence</w:t>
      </w:r>
    </w:p>
    <w:p>
      <w:pPr>
        <w:pStyle w:val="ListBullet"/>
      </w:pPr>
      <w:r>
        <w:t>D1: Commercial chain is Commercial Context → Order → Payment Core → Provider Adapter → Provider Result → Verification → Idempotency → Payment Confirmed → Fulfillment → Subscription/Add-on/Entitlement → Quota/Access; no physical schema/API/RBAC IDs were invented.</w:t>
      </w:r>
    </w:p>
    <w:p>
      <w:pPr>
        <w:pStyle w:val="ListBullet"/>
      </w:pPr>
      <w:r>
        <w:t>D2: Learning Economy is LP transaction/ledger based, earned vs purchased provenance is distinct, pay-to-accelerate ≠ pay-to-pass, Payment remains Commercial-owned, and MADCR-049 remains OPEN/RE-EVALUATION.</w:t>
      </w:r>
    </w:p>
    <w:p>
      <w:pPr>
        <w:pStyle w:val="ListBullet"/>
      </w:pPr>
      <w:r>
        <w:t>D3: Session ≠ Course Enrollment ≠ EventRegistration; provider ID ≠ semantic Session ID; evidence → attendance → completion remains separate; MADCR-053/054 and OD-08 remain controlled.</w:t>
      </w:r>
    </w:p>
    <w:p>
      <w:pPr>
        <w:pStyle w:val="ListBullet"/>
      </w:pPr>
      <w:r>
        <w:t>D4: Title Identity → Awarding Path Version → Awarding Rule Version → Qualification Evaluation → Award Instance; M04 Certificate remains separate; OD-02…05 remain open.</w:t>
      </w:r>
    </w:p>
    <w:p>
      <w:pPr>
        <w:pStyle w:val="ListBullet"/>
      </w:pPr>
      <w:r>
        <w:t>D5: No hard cross-AEP contradiction; authority ownership is coherent.</w:t>
      </w:r>
    </w:p>
    <w:p>
      <w:pPr>
        <w:pStyle w:val="ListBullet"/>
      </w:pPr>
      <w:r>
        <w:t>D6: Global semantic baseline synchronization is complete, but physical migration, production provider activation, final unresolved RBAC IDs, automatic failover, final MADCR-049 contract and unresolved AEP3 physical design remain explicitly held.</w:t>
      </w:r>
    </w:p>
    <w:p>
      <w:pPr>
        <w:pStyle w:val="Heading1"/>
      </w:pPr>
      <w:r>
        <w:t>4. P3 Gate Assessment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6"/>
              </w:rPr>
              <w:t>Gate Criterion</w:t>
            </w:r>
          </w:p>
        </w:tc>
        <w:tc>
          <w:tcPr>
            <w:tcW w:type="dxa" w:w="2556"/>
            <w:vAlign w:val="center"/>
            <w:shd w:fill="D9EAF7"/>
          </w:tcPr>
          <w:p>
            <w:r/>
            <w:r>
              <w:rPr>
                <w:b/>
                <w:sz w:val="16"/>
              </w:rPr>
              <w:t>Result</w:t>
            </w:r>
          </w:p>
        </w:tc>
        <w:tc>
          <w:tcPr>
            <w:tcW w:type="dxa" w:w="2556"/>
            <w:vAlign w:val="center"/>
            <w:shd w:fill="D9EAF7"/>
          </w:tcPr>
          <w:p>
            <w:r/>
            <w:r>
              <w:rPr>
                <w:b/>
                <w:sz w:val="16"/>
              </w:rPr>
              <w:t>Evidence</w:t>
            </w:r>
          </w:p>
        </w:tc>
        <w:tc>
          <w:tcPr>
            <w:tcW w:type="dxa" w:w="2556"/>
            <w:vAlign w:val="center"/>
            <w:shd w:fill="D9EAF7"/>
          </w:tcPr>
          <w:p>
            <w:r/>
            <w:r>
              <w:rPr>
                <w:b/>
                <w:sz w:val="16"/>
              </w:rPr>
              <w:t>Decision</w:t>
            </w:r>
          </w:p>
        </w:tc>
      </w:tr>
      <w:tr>
        <w:tc>
          <w:tcPr>
            <w:tcW w:type="dxa" w:w="2556"/>
            <w:vAlign w:val="center"/>
          </w:tcPr>
          <w:p>
            <w:r/>
            <w:r>
              <w:rPr>
                <w:b w:val="0"/>
                <w:sz w:val="16"/>
              </w:rPr>
              <w:t>Semantic architecture</w:t>
            </w:r>
          </w:p>
        </w:tc>
        <w:tc>
          <w:tcPr>
            <w:tcW w:type="dxa" w:w="2556"/>
            <w:vAlign w:val="center"/>
          </w:tcPr>
          <w:p>
            <w:r/>
            <w:r>
              <w:rPr>
                <w:b w:val="0"/>
                <w:sz w:val="16"/>
              </w:rPr>
              <w:t>PASS</w:t>
            </w:r>
          </w:p>
        </w:tc>
        <w:tc>
          <w:tcPr>
            <w:tcW w:type="dxa" w:w="2556"/>
            <w:vAlign w:val="center"/>
          </w:tcPr>
          <w:p>
            <w:r/>
            <w:r>
              <w:rPr>
                <w:b w:val="0"/>
                <w:sz w:val="16"/>
              </w:rPr>
              <w:t>D1–D6</w:t>
            </w:r>
          </w:p>
        </w:tc>
        <w:tc>
          <w:tcPr>
            <w:tcW w:type="dxa" w:w="2556"/>
            <w:vAlign w:val="center"/>
          </w:tcPr>
          <w:p>
            <w:r/>
            <w:r>
              <w:rPr>
                <w:b w:val="0"/>
                <w:sz w:val="16"/>
              </w:rPr>
              <w:t>No reopening.</w:t>
            </w:r>
          </w:p>
        </w:tc>
      </w:tr>
      <w:tr>
        <w:tc>
          <w:tcPr>
            <w:tcW w:type="dxa" w:w="2556"/>
            <w:vAlign w:val="center"/>
          </w:tcPr>
          <w:p>
            <w:r/>
            <w:r>
              <w:rPr>
                <w:b w:val="0"/>
                <w:sz w:val="16"/>
              </w:rPr>
              <w:t>Cross-domain authority</w:t>
            </w:r>
          </w:p>
        </w:tc>
        <w:tc>
          <w:tcPr>
            <w:tcW w:type="dxa" w:w="2556"/>
            <w:vAlign w:val="center"/>
          </w:tcPr>
          <w:p>
            <w:r/>
            <w:r>
              <w:rPr>
                <w:b w:val="0"/>
                <w:sz w:val="16"/>
              </w:rPr>
              <w:t>PASS</w:t>
            </w:r>
          </w:p>
        </w:tc>
        <w:tc>
          <w:tcPr>
            <w:tcW w:type="dxa" w:w="2556"/>
            <w:vAlign w:val="center"/>
          </w:tcPr>
          <w:p>
            <w:r/>
            <w:r>
              <w:rPr>
                <w:b w:val="0"/>
                <w:sz w:val="16"/>
              </w:rPr>
              <w:t>D5/D6</w:t>
            </w:r>
          </w:p>
        </w:tc>
        <w:tc>
          <w:tcPr>
            <w:tcW w:type="dxa" w:w="2556"/>
            <w:vAlign w:val="center"/>
          </w:tcPr>
          <w:p>
            <w:r/>
            <w:r>
              <w:rPr>
                <w:b w:val="0"/>
                <w:sz w:val="16"/>
              </w:rPr>
              <w:t>No authority leakage.</w:t>
            </w:r>
          </w:p>
        </w:tc>
      </w:tr>
      <w:tr>
        <w:tc>
          <w:tcPr>
            <w:tcW w:type="dxa" w:w="2556"/>
            <w:vAlign w:val="center"/>
          </w:tcPr>
          <w:p>
            <w:r/>
            <w:r>
              <w:rPr>
                <w:b w:val="0"/>
                <w:sz w:val="16"/>
              </w:rPr>
              <w:t>Downstream semantic baseline</w:t>
            </w:r>
          </w:p>
        </w:tc>
        <w:tc>
          <w:tcPr>
            <w:tcW w:type="dxa" w:w="2556"/>
            <w:vAlign w:val="center"/>
          </w:tcPr>
          <w:p>
            <w:r/>
            <w:r>
              <w:rPr>
                <w:b w:val="0"/>
                <w:sz w:val="16"/>
              </w:rPr>
              <w:t>PASS</w:t>
            </w:r>
          </w:p>
        </w:tc>
        <w:tc>
          <w:tcPr>
            <w:tcW w:type="dxa" w:w="2556"/>
            <w:vAlign w:val="center"/>
          </w:tcPr>
          <w:p>
            <w:r/>
            <w:r>
              <w:rPr>
                <w:b w:val="0"/>
                <w:sz w:val="16"/>
              </w:rPr>
              <w:t>D1–D4</w:t>
            </w:r>
          </w:p>
        </w:tc>
        <w:tc>
          <w:tcPr>
            <w:tcW w:type="dxa" w:w="2556"/>
            <w:vAlign w:val="center"/>
          </w:tcPr>
          <w:p>
            <w:r/>
            <w:r>
              <w:rPr>
                <w:b w:val="0"/>
                <w:sz w:val="16"/>
              </w:rPr>
              <w:t>Already synchronized.</w:t>
            </w:r>
          </w:p>
        </w:tc>
      </w:tr>
      <w:tr>
        <w:tc>
          <w:tcPr>
            <w:tcW w:type="dxa" w:w="2556"/>
            <w:vAlign w:val="center"/>
          </w:tcPr>
          <w:p>
            <w:r/>
            <w:r>
              <w:rPr>
                <w:b w:val="0"/>
                <w:sz w:val="16"/>
              </w:rPr>
              <w:t>Current technical evidence</w:t>
            </w:r>
          </w:p>
        </w:tc>
        <w:tc>
          <w:tcPr>
            <w:tcW w:type="dxa" w:w="2556"/>
            <w:vAlign w:val="center"/>
          </w:tcPr>
          <w:p>
            <w:r/>
            <w:r>
              <w:rPr>
                <w:b w:val="0"/>
                <w:sz w:val="16"/>
              </w:rPr>
              <w:t>PASS</w:t>
            </w:r>
          </w:p>
        </w:tc>
        <w:tc>
          <w:tcPr>
            <w:tcW w:type="dxa" w:w="2556"/>
            <w:vAlign w:val="center"/>
          </w:tcPr>
          <w:p>
            <w:r/>
            <w:r>
              <w:rPr>
                <w:b w:val="0"/>
                <w:sz w:val="16"/>
              </w:rPr>
              <w:t>P1 direct archive verification</w:t>
            </w:r>
          </w:p>
        </w:tc>
        <w:tc>
          <w:tcPr>
            <w:tcW w:type="dxa" w:w="2556"/>
            <w:vAlign w:val="center"/>
          </w:tcPr>
          <w:p>
            <w:r/>
            <w:r>
              <w:rPr>
                <w:b w:val="0"/>
                <w:sz w:val="16"/>
              </w:rPr>
              <w:t>Evidence sufficient to design; not sufficient to authorize execution.</w:t>
            </w:r>
          </w:p>
        </w:tc>
      </w:tr>
      <w:tr>
        <w:tc>
          <w:tcPr>
            <w:tcW w:type="dxa" w:w="2556"/>
            <w:vAlign w:val="center"/>
          </w:tcPr>
          <w:p>
            <w:r/>
            <w:r>
              <w:rPr>
                <w:b w:val="0"/>
                <w:sz w:val="16"/>
              </w:rPr>
              <w:t>Governance residual closure</w:t>
            </w:r>
          </w:p>
        </w:tc>
        <w:tc>
          <w:tcPr>
            <w:tcW w:type="dxa" w:w="2556"/>
            <w:vAlign w:val="center"/>
          </w:tcPr>
          <w:p>
            <w:r/>
            <w:r>
              <w:rPr>
                <w:b w:val="0"/>
                <w:sz w:val="16"/>
              </w:rPr>
              <w:t>HOLD</w:t>
            </w:r>
          </w:p>
        </w:tc>
        <w:tc>
          <w:tcPr>
            <w:tcW w:type="dxa" w:w="2556"/>
            <w:vAlign w:val="center"/>
          </w:tcPr>
          <w:p>
            <w:r/>
            <w:r>
              <w:rPr>
                <w:b w:val="0"/>
                <w:sz w:val="16"/>
              </w:rPr>
              <w:t>MADCR-049, 053/054, AEP3 OD-02…05, OD-08 etc.</w:t>
            </w:r>
          </w:p>
        </w:tc>
        <w:tc>
          <w:tcPr>
            <w:tcW w:type="dxa" w:w="2556"/>
            <w:vAlign w:val="center"/>
          </w:tcPr>
          <w:p>
            <w:r/>
            <w:r>
              <w:rPr>
                <w:b w:val="0"/>
                <w:sz w:val="16"/>
              </w:rPr>
              <w:t>Must remain visible/closed by proper gate.</w:t>
            </w:r>
          </w:p>
        </w:tc>
      </w:tr>
      <w:tr>
        <w:tc>
          <w:tcPr>
            <w:tcW w:type="dxa" w:w="2556"/>
            <w:vAlign w:val="center"/>
          </w:tcPr>
          <w:p>
            <w:r/>
            <w:r>
              <w:rPr>
                <w:b w:val="0"/>
                <w:sz w:val="16"/>
              </w:rPr>
              <w:t>Physical design completeness</w:t>
            </w:r>
          </w:p>
        </w:tc>
        <w:tc>
          <w:tcPr>
            <w:tcW w:type="dxa" w:w="2556"/>
            <w:vAlign w:val="center"/>
          </w:tcPr>
          <w:p>
            <w:r/>
            <w:r>
              <w:rPr>
                <w:b w:val="0"/>
                <w:sz w:val="16"/>
              </w:rPr>
              <w:t>HOLD</w:t>
            </w:r>
          </w:p>
        </w:tc>
        <w:tc>
          <w:tcPr>
            <w:tcW w:type="dxa" w:w="2556"/>
            <w:vAlign w:val="center"/>
          </w:tcPr>
          <w:p>
            <w:r/>
            <w:r>
              <w:rPr>
                <w:b w:val="0"/>
                <w:sz w:val="16"/>
              </w:rPr>
              <w:t>Open cardinality/storage/permission/provider decisions</w:t>
            </w:r>
          </w:p>
        </w:tc>
        <w:tc>
          <w:tcPr>
            <w:tcW w:type="dxa" w:w="2556"/>
            <w:vAlign w:val="center"/>
          </w:tcPr>
          <w:p>
            <w:r/>
            <w:r>
              <w:rPr>
                <w:b w:val="0"/>
                <w:sz w:val="16"/>
              </w:rPr>
              <w:t>Do not invent missing physical mechanics.</w:t>
            </w:r>
          </w:p>
        </w:tc>
      </w:tr>
      <w:tr>
        <w:tc>
          <w:tcPr>
            <w:tcW w:type="dxa" w:w="2556"/>
            <w:vAlign w:val="center"/>
          </w:tcPr>
          <w:p>
            <w:r/>
            <w:r>
              <w:rPr>
                <w:b w:val="0"/>
                <w:sz w:val="16"/>
              </w:rPr>
              <w:t>Production provider readiness</w:t>
            </w:r>
          </w:p>
        </w:tc>
        <w:tc>
          <w:tcPr>
            <w:tcW w:type="dxa" w:w="2556"/>
            <w:vAlign w:val="center"/>
          </w:tcPr>
          <w:p>
            <w:r/>
            <w:r>
              <w:rPr>
                <w:b w:val="0"/>
                <w:sz w:val="16"/>
              </w:rPr>
              <w:t>HOLD</w:t>
            </w:r>
          </w:p>
        </w:tc>
        <w:tc>
          <w:tcPr>
            <w:tcW w:type="dxa" w:w="2556"/>
            <w:vAlign w:val="center"/>
          </w:tcPr>
          <w:p>
            <w:r/>
            <w:r>
              <w:rPr>
                <w:b w:val="0"/>
                <w:sz w:val="16"/>
              </w:rPr>
              <w:t>MADCR-026/027/028 research required</w:t>
            </w:r>
          </w:p>
        </w:tc>
        <w:tc>
          <w:tcPr>
            <w:tcW w:type="dxa" w:w="2556"/>
            <w:vAlign w:val="center"/>
          </w:tcPr>
          <w:p>
            <w:r/>
            <w:r>
              <w:rPr>
                <w:b w:val="0"/>
                <w:sz w:val="16"/>
              </w:rPr>
              <w:t>Capability evidence before binding.</w:t>
            </w:r>
          </w:p>
        </w:tc>
      </w:tr>
      <w:tr>
        <w:tc>
          <w:tcPr>
            <w:tcW w:type="dxa" w:w="2556"/>
            <w:vAlign w:val="center"/>
          </w:tcPr>
          <w:p>
            <w:r/>
            <w:r>
              <w:rPr>
                <w:b w:val="0"/>
                <w:sz w:val="16"/>
              </w:rPr>
              <w:t>Migration readiness</w:t>
            </w:r>
          </w:p>
        </w:tc>
        <w:tc>
          <w:tcPr>
            <w:tcW w:type="dxa" w:w="2556"/>
            <w:vAlign w:val="center"/>
          </w:tcPr>
          <w:p>
            <w:r/>
            <w:r>
              <w:rPr>
                <w:b w:val="0"/>
                <w:sz w:val="16"/>
              </w:rPr>
              <w:t>HOLD</w:t>
            </w:r>
          </w:p>
        </w:tc>
        <w:tc>
          <w:tcPr>
            <w:tcW w:type="dxa" w:w="2556"/>
            <w:vAlign w:val="center"/>
          </w:tcPr>
          <w:p>
            <w:r/>
            <w:r>
              <w:rPr>
                <w:b w:val="0"/>
                <w:sz w:val="16"/>
              </w:rPr>
              <w:t>SQL exists as candidate, not execution proof</w:t>
            </w:r>
          </w:p>
        </w:tc>
        <w:tc>
          <w:tcPr>
            <w:tcW w:type="dxa" w:w="2556"/>
            <w:vAlign w:val="center"/>
          </w:tcPr>
          <w:p>
            <w:r/>
            <w:r>
              <w:rPr>
                <w:b w:val="0"/>
                <w:sz w:val="16"/>
              </w:rPr>
              <w:t>No migration execution.</w:t>
            </w:r>
          </w:p>
        </w:tc>
      </w:tr>
      <w:tr>
        <w:tc>
          <w:tcPr>
            <w:tcW w:type="dxa" w:w="2556"/>
            <w:vAlign w:val="center"/>
          </w:tcPr>
          <w:p>
            <w:r/>
            <w:r>
              <w:rPr>
                <w:b w:val="0"/>
                <w:sz w:val="16"/>
              </w:rPr>
              <w:t>Implementation authorization</w:t>
            </w:r>
          </w:p>
        </w:tc>
        <w:tc>
          <w:tcPr>
            <w:tcW w:type="dxa" w:w="2556"/>
            <w:vAlign w:val="center"/>
          </w:tcPr>
          <w:p>
            <w:r/>
            <w:r>
              <w:rPr>
                <w:b w:val="0"/>
                <w:sz w:val="16"/>
              </w:rPr>
              <w:t>HOLD</w:t>
            </w:r>
          </w:p>
        </w:tc>
        <w:tc>
          <w:tcPr>
            <w:tcW w:type="dxa" w:w="2556"/>
            <w:vAlign w:val="center"/>
          </w:tcPr>
          <w:p>
            <w:r/>
            <w:r>
              <w:rPr>
                <w:b w:val="0"/>
                <w:sz w:val="16"/>
              </w:rPr>
              <w:t>D6 explicit hold</w:t>
            </w:r>
          </w:p>
        </w:tc>
        <w:tc>
          <w:tcPr>
            <w:tcW w:type="dxa" w:w="2556"/>
            <w:vAlign w:val="center"/>
          </w:tcPr>
          <w:p>
            <w:r/>
            <w:r>
              <w:rPr>
                <w:b w:val="0"/>
                <w:sz w:val="16"/>
              </w:rPr>
              <w:t>No production implementation authorization.</w:t>
            </w:r>
          </w:p>
        </w:tc>
      </w:tr>
    </w:tbl>
    <w:p>
      <w:pPr>
        <w:pStyle w:val="Heading1"/>
      </w:pPr>
      <w:r>
        <w:t>5. Blocking vs Non-Blocking Residuals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6"/>
              </w:rPr>
              <w:t>Item</w:t>
            </w:r>
          </w:p>
        </w:tc>
        <w:tc>
          <w:tcPr>
            <w:tcW w:type="dxa" w:w="2045"/>
            <w:vAlign w:val="center"/>
            <w:shd w:fill="D9EAF7"/>
          </w:tcPr>
          <w:p>
            <w:r/>
            <w:r>
              <w:rPr>
                <w:b/>
                <w:sz w:val="16"/>
              </w:rPr>
              <w:t>Impact</w:t>
            </w:r>
          </w:p>
        </w:tc>
        <w:tc>
          <w:tcPr>
            <w:tcW w:type="dxa" w:w="2045"/>
            <w:vAlign w:val="center"/>
            <w:shd w:fill="D9EAF7"/>
          </w:tcPr>
          <w:p>
            <w:r/>
            <w:r>
              <w:rPr>
                <w:b/>
                <w:sz w:val="16"/>
              </w:rPr>
              <w:t>Current Status</w:t>
            </w:r>
          </w:p>
        </w:tc>
        <w:tc>
          <w:tcPr>
            <w:tcW w:type="dxa" w:w="2045"/>
            <w:vAlign w:val="center"/>
            <w:shd w:fill="D9EAF7"/>
          </w:tcPr>
          <w:p>
            <w:r/>
            <w:r>
              <w:rPr>
                <w:b/>
                <w:sz w:val="16"/>
              </w:rPr>
              <w:t>Why It Matters</w:t>
            </w:r>
          </w:p>
        </w:tc>
        <w:tc>
          <w:tcPr>
            <w:tcW w:type="dxa" w:w="2045"/>
            <w:vAlign w:val="center"/>
            <w:shd w:fill="D9EAF7"/>
          </w:tcPr>
          <w:p>
            <w:r/>
            <w:r>
              <w:rPr>
                <w:b/>
                <w:sz w:val="16"/>
              </w:rPr>
              <w:t>Action</w:t>
            </w:r>
          </w:p>
        </w:tc>
      </w:tr>
      <w:tr>
        <w:tc>
          <w:tcPr>
            <w:tcW w:type="dxa" w:w="2045"/>
            <w:vAlign w:val="center"/>
          </w:tcPr>
          <w:p>
            <w:r/>
            <w:r>
              <w:rPr>
                <w:b w:val="0"/>
                <w:sz w:val="16"/>
              </w:rPr>
              <w:t>MADCR-049</w:t>
            </w:r>
          </w:p>
        </w:tc>
        <w:tc>
          <w:tcPr>
            <w:tcW w:type="dxa" w:w="2045"/>
            <w:vAlign w:val="center"/>
          </w:tcPr>
          <w:p>
            <w:r/>
            <w:r>
              <w:rPr>
                <w:b w:val="0"/>
                <w:sz w:val="16"/>
              </w:rPr>
              <w:t>HIGH</w:t>
            </w:r>
          </w:p>
        </w:tc>
        <w:tc>
          <w:tcPr>
            <w:tcW w:type="dxa" w:w="2045"/>
            <w:vAlign w:val="center"/>
          </w:tcPr>
          <w:p>
            <w:r/>
            <w:r>
              <w:rPr>
                <w:b w:val="0"/>
                <w:sz w:val="16"/>
              </w:rPr>
              <w:t>OPEN / RE-EVALUATION</w:t>
            </w:r>
          </w:p>
        </w:tc>
        <w:tc>
          <w:tcPr>
            <w:tcW w:type="dxa" w:w="2045"/>
            <w:vAlign w:val="center"/>
          </w:tcPr>
          <w:p>
            <w:r/>
            <w:r>
              <w:rPr>
                <w:b w:val="0"/>
                <w:sz w:val="16"/>
              </w:rPr>
              <w:t>Defines Learning Activity evidence boundary affecting Session→Learning→Award handoff.</w:t>
            </w:r>
          </w:p>
        </w:tc>
        <w:tc>
          <w:tcPr>
            <w:tcW w:type="dxa" w:w="2045"/>
            <w:vAlign w:val="center"/>
          </w:tcPr>
          <w:p>
            <w:r/>
            <w:r>
              <w:rPr>
                <w:b w:val="0"/>
                <w:sz w:val="16"/>
              </w:rPr>
              <w:t>Targeted evidence/governance closure; no physical finalization depending on it.</w:t>
            </w:r>
          </w:p>
        </w:tc>
      </w:tr>
      <w:tr>
        <w:tc>
          <w:tcPr>
            <w:tcW w:type="dxa" w:w="2045"/>
            <w:vAlign w:val="center"/>
          </w:tcPr>
          <w:p>
            <w:r/>
            <w:r>
              <w:rPr>
                <w:b w:val="0"/>
                <w:sz w:val="16"/>
              </w:rPr>
              <w:t>MADCR-053</w:t>
            </w:r>
          </w:p>
        </w:tc>
        <w:tc>
          <w:tcPr>
            <w:tcW w:type="dxa" w:w="2045"/>
            <w:vAlign w:val="center"/>
          </w:tcPr>
          <w:p>
            <w:r/>
            <w:r>
              <w:rPr>
                <w:b w:val="0"/>
                <w:sz w:val="16"/>
              </w:rPr>
              <w:t>HIGH</w:t>
            </w:r>
          </w:p>
        </w:tc>
        <w:tc>
          <w:tcPr>
            <w:tcW w:type="dxa" w:w="2045"/>
            <w:vAlign w:val="center"/>
          </w:tcPr>
          <w:p>
            <w:r/>
            <w:r>
              <w:rPr>
                <w:b w:val="0"/>
                <w:sz w:val="16"/>
              </w:rPr>
              <w:t>OPEN / BLOCKED</w:t>
            </w:r>
          </w:p>
        </w:tc>
        <w:tc>
          <w:tcPr>
            <w:tcW w:type="dxa" w:w="2045"/>
            <w:vAlign w:val="center"/>
          </w:tcPr>
          <w:p>
            <w:r/>
            <w:r>
              <w:rPr>
                <w:b w:val="0"/>
                <w:sz w:val="16"/>
              </w:rPr>
              <w:t>Controls cross-domain permission taxonomy and downstream permission IDs.</w:t>
            </w:r>
          </w:p>
        </w:tc>
        <w:tc>
          <w:tcPr>
            <w:tcW w:type="dxa" w:w="2045"/>
            <w:vAlign w:val="center"/>
          </w:tcPr>
          <w:p>
            <w:r/>
            <w:r>
              <w:rPr>
                <w:b w:val="0"/>
                <w:sz w:val="16"/>
              </w:rPr>
              <w:t>Governance/ARB work before final RBAC catalogue.</w:t>
            </w:r>
          </w:p>
        </w:tc>
      </w:tr>
      <w:tr>
        <w:tc>
          <w:tcPr>
            <w:tcW w:type="dxa" w:w="2045"/>
            <w:vAlign w:val="center"/>
          </w:tcPr>
          <w:p>
            <w:r/>
            <w:r>
              <w:rPr>
                <w:b w:val="0"/>
                <w:sz w:val="16"/>
              </w:rPr>
              <w:t>MADCR-054</w:t>
            </w:r>
          </w:p>
        </w:tc>
        <w:tc>
          <w:tcPr>
            <w:tcW w:type="dxa" w:w="2045"/>
            <w:vAlign w:val="center"/>
          </w:tcPr>
          <w:p>
            <w:r/>
            <w:r>
              <w:rPr>
                <w:b w:val="0"/>
                <w:sz w:val="16"/>
              </w:rPr>
              <w:t>HIGH</w:t>
            </w:r>
          </w:p>
        </w:tc>
        <w:tc>
          <w:tcPr>
            <w:tcW w:type="dxa" w:w="2045"/>
            <w:vAlign w:val="center"/>
          </w:tcPr>
          <w:p>
            <w:r/>
            <w:r>
              <w:rPr>
                <w:b w:val="0"/>
                <w:sz w:val="16"/>
              </w:rPr>
              <w:t>OPEN / BLOCKED</w:t>
            </w:r>
          </w:p>
        </w:tc>
        <w:tc>
          <w:tcPr>
            <w:tcW w:type="dxa" w:w="2045"/>
            <w:vAlign w:val="center"/>
          </w:tcPr>
          <w:p>
            <w:r/>
            <w:r>
              <w:rPr>
                <w:b w:val="0"/>
                <w:sz w:val="16"/>
              </w:rPr>
              <w:t>Controls Host/Instructor authority.</w:t>
            </w:r>
          </w:p>
        </w:tc>
        <w:tc>
          <w:tcPr>
            <w:tcW w:type="dxa" w:w="2045"/>
            <w:vAlign w:val="center"/>
          </w:tcPr>
          <w:p>
            <w:r/>
            <w:r>
              <w:rPr>
                <w:b w:val="0"/>
                <w:sz w:val="16"/>
              </w:rPr>
              <w:t>Do not infer Instructor=Host.</w:t>
            </w:r>
          </w:p>
        </w:tc>
      </w:tr>
      <w:tr>
        <w:tc>
          <w:tcPr>
            <w:tcW w:type="dxa" w:w="2045"/>
            <w:vAlign w:val="center"/>
          </w:tcPr>
          <w:p>
            <w:r/>
            <w:r>
              <w:rPr>
                <w:b w:val="0"/>
                <w:sz w:val="16"/>
              </w:rPr>
              <w:t>AEP3-OD-02</w:t>
            </w:r>
          </w:p>
        </w:tc>
        <w:tc>
          <w:tcPr>
            <w:tcW w:type="dxa" w:w="2045"/>
            <w:vAlign w:val="center"/>
          </w:tcPr>
          <w:p>
            <w:r/>
            <w:r>
              <w:rPr>
                <w:b w:val="0"/>
                <w:sz w:val="16"/>
              </w:rPr>
              <w:t>HIGH</w:t>
            </w:r>
          </w:p>
        </w:tc>
        <w:tc>
          <w:tcPr>
            <w:tcW w:type="dxa" w:w="2045"/>
            <w:vAlign w:val="center"/>
          </w:tcPr>
          <w:p>
            <w:r/>
            <w:r>
              <w:rPr>
                <w:b w:val="0"/>
                <w:sz w:val="16"/>
              </w:rPr>
              <w:t>OPEN / CONTROLLED</w:t>
            </w:r>
          </w:p>
        </w:tc>
        <w:tc>
          <w:tcPr>
            <w:tcW w:type="dxa" w:w="2045"/>
            <w:vAlign w:val="center"/>
          </w:tcPr>
          <w:p>
            <w:r/>
            <w:r>
              <w:rPr>
                <w:b w:val="0"/>
                <w:sz w:val="16"/>
              </w:rPr>
              <w:t>Physical Authority/Scope cardinality remains unresolved.</w:t>
            </w:r>
          </w:p>
        </w:tc>
        <w:tc>
          <w:tcPr>
            <w:tcW w:type="dxa" w:w="2045"/>
            <w:vAlign w:val="center"/>
          </w:tcPr>
          <w:p>
            <w:r/>
            <w:r>
              <w:rPr>
                <w:b w:val="0"/>
                <w:sz w:val="16"/>
              </w:rPr>
              <w:t>Resolve before final authority/RLS physical design.</w:t>
            </w:r>
          </w:p>
        </w:tc>
      </w:tr>
      <w:tr>
        <w:tc>
          <w:tcPr>
            <w:tcW w:type="dxa" w:w="2045"/>
            <w:vAlign w:val="center"/>
          </w:tcPr>
          <w:p>
            <w:r/>
            <w:r>
              <w:rPr>
                <w:b w:val="0"/>
                <w:sz w:val="16"/>
              </w:rPr>
              <w:t>AEP3-OD-03</w:t>
            </w:r>
          </w:p>
        </w:tc>
        <w:tc>
          <w:tcPr>
            <w:tcW w:type="dxa" w:w="2045"/>
            <w:vAlign w:val="center"/>
          </w:tcPr>
          <w:p>
            <w:r/>
            <w:r>
              <w:rPr>
                <w:b w:val="0"/>
                <w:sz w:val="16"/>
              </w:rPr>
              <w:t>MEDIUM</w:t>
            </w:r>
          </w:p>
        </w:tc>
        <w:tc>
          <w:tcPr>
            <w:tcW w:type="dxa" w:w="2045"/>
            <w:vAlign w:val="center"/>
          </w:tcPr>
          <w:p>
            <w:r/>
            <w:r>
              <w:rPr>
                <w:b w:val="0"/>
                <w:sz w:val="16"/>
              </w:rPr>
              <w:t>OPEN / CONTROLLED</w:t>
            </w:r>
          </w:p>
        </w:tc>
        <w:tc>
          <w:tcPr>
            <w:tcW w:type="dxa" w:w="2045"/>
            <w:vAlign w:val="center"/>
          </w:tcPr>
          <w:p>
            <w:r/>
            <w:r>
              <w:rPr>
                <w:b w:val="0"/>
                <w:sz w:val="16"/>
              </w:rPr>
              <w:t>Lifecycle/Appeal storage mechanism not locked.</w:t>
            </w:r>
          </w:p>
        </w:tc>
        <w:tc>
          <w:tcPr>
            <w:tcW w:type="dxa" w:w="2045"/>
            <w:vAlign w:val="center"/>
          </w:tcPr>
          <w:p>
            <w:r/>
            <w:r>
              <w:rPr>
                <w:b w:val="0"/>
                <w:sz w:val="16"/>
              </w:rPr>
              <w:t>Choose at engineering/physical design gate.</w:t>
            </w:r>
          </w:p>
        </w:tc>
      </w:tr>
      <w:tr>
        <w:tc>
          <w:tcPr>
            <w:tcW w:type="dxa" w:w="2045"/>
            <w:vAlign w:val="center"/>
          </w:tcPr>
          <w:p>
            <w:r/>
            <w:r>
              <w:rPr>
                <w:b w:val="0"/>
                <w:sz w:val="16"/>
              </w:rPr>
              <w:t>AEP3-OD-04</w:t>
            </w:r>
          </w:p>
        </w:tc>
        <w:tc>
          <w:tcPr>
            <w:tcW w:type="dxa" w:w="2045"/>
            <w:vAlign w:val="center"/>
          </w:tcPr>
          <w:p>
            <w:r/>
            <w:r>
              <w:rPr>
                <w:b w:val="0"/>
                <w:sz w:val="16"/>
              </w:rPr>
              <w:t>MEDIUM</w:t>
            </w:r>
          </w:p>
        </w:tc>
        <w:tc>
          <w:tcPr>
            <w:tcW w:type="dxa" w:w="2045"/>
            <w:vAlign w:val="center"/>
          </w:tcPr>
          <w:p>
            <w:r/>
            <w:r>
              <w:rPr>
                <w:b w:val="0"/>
                <w:sz w:val="16"/>
              </w:rPr>
              <w:t>OPEN / CONTROLLED</w:t>
            </w:r>
          </w:p>
        </w:tc>
        <w:tc>
          <w:tcPr>
            <w:tcW w:type="dxa" w:w="2045"/>
            <w:vAlign w:val="center"/>
          </w:tcPr>
          <w:p>
            <w:r/>
            <w:r>
              <w:rPr>
                <w:b w:val="0"/>
                <w:sz w:val="16"/>
              </w:rPr>
              <w:t>Rule lineage physical cardinality not locked.</w:t>
            </w:r>
          </w:p>
        </w:tc>
        <w:tc>
          <w:tcPr>
            <w:tcW w:type="dxa" w:w="2045"/>
            <w:vAlign w:val="center"/>
          </w:tcPr>
          <w:p>
            <w:r/>
            <w:r>
              <w:rPr>
                <w:b w:val="0"/>
                <w:sz w:val="16"/>
              </w:rPr>
              <w:t>Preserve semantic lineage; defer physical FK/cardinality.</w:t>
            </w:r>
          </w:p>
        </w:tc>
      </w:tr>
      <w:tr>
        <w:tc>
          <w:tcPr>
            <w:tcW w:type="dxa" w:w="2045"/>
            <w:vAlign w:val="center"/>
          </w:tcPr>
          <w:p>
            <w:r/>
            <w:r>
              <w:rPr>
                <w:b w:val="0"/>
                <w:sz w:val="16"/>
              </w:rPr>
              <w:t>AEP3-OD-05</w:t>
            </w:r>
          </w:p>
        </w:tc>
        <w:tc>
          <w:tcPr>
            <w:tcW w:type="dxa" w:w="2045"/>
            <w:vAlign w:val="center"/>
          </w:tcPr>
          <w:p>
            <w:r/>
            <w:r>
              <w:rPr>
                <w:b w:val="0"/>
                <w:sz w:val="16"/>
              </w:rPr>
              <w:t>MEDIUM</w:t>
            </w:r>
          </w:p>
        </w:tc>
        <w:tc>
          <w:tcPr>
            <w:tcW w:type="dxa" w:w="2045"/>
            <w:vAlign w:val="center"/>
          </w:tcPr>
          <w:p>
            <w:r/>
            <w:r>
              <w:rPr>
                <w:b w:val="0"/>
                <w:sz w:val="16"/>
              </w:rPr>
              <w:t>OPEN / CONTROLLED</w:t>
            </w:r>
          </w:p>
        </w:tc>
        <w:tc>
          <w:tcPr>
            <w:tcW w:type="dxa" w:w="2045"/>
            <w:vAlign w:val="center"/>
          </w:tcPr>
          <w:p>
            <w:r/>
            <w:r>
              <w:rPr>
                <w:b w:val="0"/>
                <w:sz w:val="16"/>
              </w:rPr>
              <w:t>Temporal/effective-date semantics not locked.</w:t>
            </w:r>
          </w:p>
        </w:tc>
        <w:tc>
          <w:tcPr>
            <w:tcW w:type="dxa" w:w="2045"/>
            <w:vAlign w:val="center"/>
          </w:tcPr>
          <w:p>
            <w:r/>
            <w:r>
              <w:rPr>
                <w:b w:val="0"/>
                <w:sz w:val="16"/>
              </w:rPr>
              <w:t>Do not invent effective_from/effective_to invariant.</w:t>
            </w:r>
          </w:p>
        </w:tc>
      </w:tr>
      <w:tr>
        <w:tc>
          <w:tcPr>
            <w:tcW w:type="dxa" w:w="2045"/>
            <w:vAlign w:val="center"/>
          </w:tcPr>
          <w:p>
            <w:r/>
            <w:r>
              <w:rPr>
                <w:b w:val="0"/>
                <w:sz w:val="16"/>
              </w:rPr>
              <w:t>AEP4-OD-08</w:t>
            </w:r>
          </w:p>
        </w:tc>
        <w:tc>
          <w:tcPr>
            <w:tcW w:type="dxa" w:w="2045"/>
            <w:vAlign w:val="center"/>
          </w:tcPr>
          <w:p>
            <w:r/>
            <w:r>
              <w:rPr>
                <w:b w:val="0"/>
                <w:sz w:val="16"/>
              </w:rPr>
              <w:t>MEDIUM</w:t>
            </w:r>
          </w:p>
        </w:tc>
        <w:tc>
          <w:tcPr>
            <w:tcW w:type="dxa" w:w="2045"/>
            <w:vAlign w:val="center"/>
          </w:tcPr>
          <w:p>
            <w:r/>
            <w:r>
              <w:rPr>
                <w:b w:val="0"/>
                <w:sz w:val="16"/>
              </w:rPr>
              <w:t>OPEN / DEFERRED</w:t>
            </w:r>
          </w:p>
        </w:tc>
        <w:tc>
          <w:tcPr>
            <w:tcW w:type="dxa" w:w="2045"/>
            <w:vAlign w:val="center"/>
          </w:tcPr>
          <w:p>
            <w:r/>
            <w:r>
              <w:rPr>
                <w:b w:val="0"/>
                <w:sz w:val="16"/>
              </w:rPr>
              <w:t>Automatic provider failover is not governing.</w:t>
            </w:r>
          </w:p>
        </w:tc>
        <w:tc>
          <w:tcPr>
            <w:tcW w:type="dxa" w:w="2045"/>
            <w:vAlign w:val="center"/>
          </w:tcPr>
          <w:p>
            <w:r/>
            <w:r>
              <w:rPr>
                <w:b w:val="0"/>
                <w:sz w:val="16"/>
              </w:rPr>
              <w:t>Manual/controlled switching only unless later approved.</w:t>
            </w:r>
          </w:p>
        </w:tc>
      </w:tr>
      <w:tr>
        <w:tc>
          <w:tcPr>
            <w:tcW w:type="dxa" w:w="2045"/>
            <w:vAlign w:val="center"/>
          </w:tcPr>
          <w:p>
            <w:r/>
            <w:r>
              <w:rPr>
                <w:b w:val="0"/>
                <w:sz w:val="16"/>
              </w:rPr>
              <w:t>MADCR-026/027/028</w:t>
            </w:r>
          </w:p>
        </w:tc>
        <w:tc>
          <w:tcPr>
            <w:tcW w:type="dxa" w:w="2045"/>
            <w:vAlign w:val="center"/>
          </w:tcPr>
          <w:p>
            <w:r/>
            <w:r>
              <w:rPr>
                <w:b w:val="0"/>
                <w:sz w:val="16"/>
              </w:rPr>
              <w:t>HIGH for production</w:t>
            </w:r>
          </w:p>
        </w:tc>
        <w:tc>
          <w:tcPr>
            <w:tcW w:type="dxa" w:w="2045"/>
            <w:vAlign w:val="center"/>
          </w:tcPr>
          <w:p>
            <w:r/>
            <w:r>
              <w:rPr>
                <w:b w:val="0"/>
                <w:sz w:val="16"/>
              </w:rPr>
              <w:t>RESEARCH REQUIRED</w:t>
            </w:r>
          </w:p>
        </w:tc>
        <w:tc>
          <w:tcPr>
            <w:tcW w:type="dxa" w:w="2045"/>
            <w:vAlign w:val="center"/>
          </w:tcPr>
          <w:p>
            <w:r/>
            <w:r>
              <w:rPr>
                <w:b w:val="0"/>
                <w:sz w:val="16"/>
              </w:rPr>
              <w:t>Provider capability/OAuth/quota/pricing evidence not yet established.</w:t>
            </w:r>
          </w:p>
        </w:tc>
        <w:tc>
          <w:tcPr>
            <w:tcW w:type="dxa" w:w="2045"/>
            <w:vAlign w:val="center"/>
          </w:tcPr>
          <w:p>
            <w:r/>
            <w:r>
              <w:rPr>
                <w:b w:val="0"/>
                <w:sz w:val="16"/>
              </w:rPr>
              <w:t>Run provider capability research; selection remains separate.</w:t>
            </w:r>
          </w:p>
        </w:tc>
      </w:tr>
      <w:tr>
        <w:tc>
          <w:tcPr>
            <w:tcW w:type="dxa" w:w="2045"/>
            <w:vAlign w:val="center"/>
          </w:tcPr>
          <w:p>
            <w:r/>
            <w:r>
              <w:rPr>
                <w:b w:val="0"/>
                <w:sz w:val="16"/>
              </w:rPr>
              <w:t>OPEN-C01</w:t>
            </w:r>
          </w:p>
        </w:tc>
        <w:tc>
          <w:tcPr>
            <w:tcW w:type="dxa" w:w="2045"/>
            <w:vAlign w:val="center"/>
          </w:tcPr>
          <w:p>
            <w:r/>
            <w:r>
              <w:rPr>
                <w:b w:val="0"/>
                <w:sz w:val="16"/>
              </w:rPr>
              <w:t>LOW-MEDIUM</w:t>
            </w:r>
          </w:p>
        </w:tc>
        <w:tc>
          <w:tcPr>
            <w:tcW w:type="dxa" w:w="2045"/>
            <w:vAlign w:val="center"/>
          </w:tcPr>
          <w:p>
            <w:r/>
            <w:r>
              <w:rPr>
                <w:b w:val="0"/>
                <w:sz w:val="16"/>
              </w:rPr>
              <w:t>OPEN / NON-BLOCKING</w:t>
            </w:r>
          </w:p>
        </w:tc>
        <w:tc>
          <w:tcPr>
            <w:tcW w:type="dxa" w:w="2045"/>
            <w:vAlign w:val="center"/>
          </w:tcPr>
          <w:p>
            <w:r/>
            <w:r>
              <w:rPr>
                <w:b w:val="0"/>
                <w:sz w:val="16"/>
              </w:rPr>
              <w:t>AEP-MON provenance relationship unresolved.</w:t>
            </w:r>
          </w:p>
        </w:tc>
        <w:tc>
          <w:tcPr>
            <w:tcW w:type="dxa" w:w="2045"/>
            <w:vAlign w:val="center"/>
          </w:tcPr>
          <w:p>
            <w:r/>
            <w:r>
              <w:rPr>
                <w:b w:val="0"/>
                <w:sz w:val="16"/>
              </w:rPr>
              <w:t>Clarify provenance; do not infer hierarchy.</w:t>
            </w:r>
          </w:p>
        </w:tc>
      </w:tr>
      <w:tr>
        <w:tc>
          <w:tcPr>
            <w:tcW w:type="dxa" w:w="2045"/>
            <w:vAlign w:val="center"/>
          </w:tcPr>
          <w:p>
            <w:r/>
            <w:r>
              <w:rPr>
                <w:b w:val="0"/>
                <w:sz w:val="16"/>
              </w:rPr>
              <w:t>MBR-COM-001–013</w:t>
            </w:r>
          </w:p>
        </w:tc>
        <w:tc>
          <w:tcPr>
            <w:tcW w:type="dxa" w:w="2045"/>
            <w:vAlign w:val="center"/>
          </w:tcPr>
          <w:p>
            <w:r/>
            <w:r>
              <w:rPr>
                <w:b w:val="0"/>
                <w:sz w:val="16"/>
              </w:rPr>
              <w:t>MEDIUM</w:t>
            </w:r>
          </w:p>
        </w:tc>
        <w:tc>
          <w:tcPr>
            <w:tcW w:type="dxa" w:w="2045"/>
            <w:vAlign w:val="center"/>
          </w:tcPr>
          <w:p>
            <w:r/>
            <w:r>
              <w:rPr>
                <w:b w:val="0"/>
                <w:sz w:val="16"/>
              </w:rPr>
              <w:t>EVIDENCE GAP</w:t>
            </w:r>
          </w:p>
        </w:tc>
        <w:tc>
          <w:tcPr>
            <w:tcW w:type="dxa" w:w="2045"/>
            <w:vAlign w:val="center"/>
          </w:tcPr>
          <w:p>
            <w:r/>
            <w:r>
              <w:rPr>
                <w:b w:val="0"/>
                <w:sz w:val="16"/>
              </w:rPr>
              <w:t>Commercial rule mappings lack verified source content.</w:t>
            </w:r>
          </w:p>
        </w:tc>
        <w:tc>
          <w:tcPr>
            <w:tcW w:type="dxa" w:w="2045"/>
            <w:vAlign w:val="center"/>
          </w:tcPr>
          <w:p>
            <w:r/>
            <w:r>
              <w:rPr>
                <w:b w:val="0"/>
                <w:sz w:val="16"/>
              </w:rPr>
              <w:t>Recover evidence; do not invent.</w:t>
            </w:r>
          </w:p>
        </w:tc>
      </w:tr>
      <w:tr>
        <w:tc>
          <w:tcPr>
            <w:tcW w:type="dxa" w:w="2045"/>
            <w:vAlign w:val="center"/>
          </w:tcPr>
          <w:p>
            <w:r/>
            <w:r>
              <w:rPr>
                <w:b w:val="0"/>
                <w:sz w:val="16"/>
              </w:rPr>
              <w:t>Session/Event + attendance/capacity/visibility/recording</w:t>
            </w:r>
          </w:p>
        </w:tc>
        <w:tc>
          <w:tcPr>
            <w:tcW w:type="dxa" w:w="2045"/>
            <w:vAlign w:val="center"/>
          </w:tcPr>
          <w:p>
            <w:r/>
            <w:r>
              <w:rPr>
                <w:b w:val="0"/>
                <w:sz w:val="16"/>
              </w:rPr>
              <w:t>MEDIUM</w:t>
            </w:r>
          </w:p>
        </w:tc>
        <w:tc>
          <w:tcPr>
            <w:tcW w:type="dxa" w:w="2045"/>
            <w:vAlign w:val="center"/>
          </w:tcPr>
          <w:p>
            <w:r/>
            <w:r>
              <w:rPr>
                <w:b w:val="0"/>
                <w:sz w:val="16"/>
              </w:rPr>
              <w:t>CONTROLLED DOWNSTREAM</w:t>
            </w:r>
          </w:p>
        </w:tc>
        <w:tc>
          <w:tcPr>
            <w:tcW w:type="dxa" w:w="2045"/>
            <w:vAlign w:val="center"/>
          </w:tcPr>
          <w:p>
            <w:r/>
            <w:r>
              <w:rPr>
                <w:b w:val="0"/>
                <w:sz w:val="16"/>
              </w:rPr>
              <w:t>Exact policies/contracts remain open.</w:t>
            </w:r>
          </w:p>
        </w:tc>
        <w:tc>
          <w:tcPr>
            <w:tcW w:type="dxa" w:w="2045"/>
            <w:vAlign w:val="center"/>
          </w:tcPr>
          <w:p>
            <w:r/>
            <w:r>
              <w:rPr>
                <w:b w:val="0"/>
                <w:sz w:val="16"/>
              </w:rPr>
              <w:t>Finalize in technical/product gate with evidence.</w:t>
            </w:r>
          </w:p>
        </w:tc>
      </w:tr>
    </w:tbl>
    <w:p>
      <w:pPr>
        <w:pStyle w:val="Heading1"/>
      </w:pPr>
      <w:r>
        <w:t>6. Authorization Decision</w:t>
      </w:r>
    </w:p>
    <w:p>
      <w:r>
        <w:rPr>
          <w:b/>
        </w:rPr>
        <w:t>P3 RESULT: HOLD — NOT READY FOR PHYSICAL IMPLEMENTATION AUTHORIZATION.</w:t>
      </w:r>
    </w:p>
    <w:p>
      <w:r>
        <w:t>Reason: semantic synchronization is complete, but several residuals are directly connected to physical design or production behavior. Opening implementation now would require inventing or prematurely locking authority/cardinality, permission, evidence, provider, or lifecycle mechanics. That would violate the project execution controls.</w:t>
      </w:r>
    </w:p>
    <w:p>
      <w:pPr>
        <w:pStyle w:val="Heading1"/>
      </w:pPr>
      <w:r>
        <w:t>7. What We Can Execute Immediately</w:t>
      </w:r>
    </w:p>
    <w:p>
      <w:pPr>
        <w:pStyle w:val="ListBullet"/>
      </w:pPr>
      <w:r>
        <w:t>Residual evidence/research work that does not change approved architecture.</w:t>
      </w:r>
    </w:p>
    <w:p>
      <w:pPr>
        <w:pStyle w:val="ListBullet"/>
      </w:pPr>
      <w:r>
        <w:t>Prepare test specifications and acceptance scenarios for already-governed invariants.</w:t>
      </w:r>
    </w:p>
    <w:p>
      <w:pPr>
        <w:pStyle w:val="ListBullet"/>
      </w:pPr>
      <w:r>
        <w:t>Prepare implementation-neutral interface/adaptor skeleton design, without locking vendor-specific behavior.</w:t>
      </w:r>
    </w:p>
    <w:p>
      <w:pPr>
        <w:pStyle w:val="ListBullet"/>
      </w:pPr>
      <w:r>
        <w:t>Prepare data-impact and migration dry-run analysis without executing SQL against production.</w:t>
      </w:r>
    </w:p>
    <w:p>
      <w:pPr>
        <w:pStyle w:val="ListBullet"/>
      </w:pPr>
      <w:r>
        <w:t>Prepare a canonical RBAC reconciliation input using existing permission catalogue, without creating final IDs.</w:t>
      </w:r>
    </w:p>
    <w:p>
      <w:pPr>
        <w:pStyle w:val="ListBullet"/>
      </w:pPr>
      <w:r>
        <w:t>Prepare provider capability research for Daily/LiveKit, Zoom/Google Meet, and YouTube Live.</w:t>
      </w:r>
    </w:p>
    <w:p>
      <w:pPr>
        <w:pStyle w:val="ListBullet"/>
      </w:pPr>
      <w:r>
        <w:t>Prepare evidence pack for MADCR-049 re-evaluation.</w:t>
      </w:r>
    </w:p>
    <w:p>
      <w:pPr>
        <w:pStyle w:val="Heading1"/>
      </w:pPr>
      <w:r>
        <w:t>8. What Remains Prohibited</w:t>
      </w:r>
    </w:p>
    <w:p>
      <w:pPr>
        <w:pStyle w:val="ListBullet"/>
      </w:pPr>
      <w:r>
        <w:t>Production database migration.</w:t>
      </w:r>
    </w:p>
    <w:p>
      <w:pPr>
        <w:pStyle w:val="ListBullet"/>
      </w:pPr>
      <w:r>
        <w:t>Production payment/provider activation.</w:t>
      </w:r>
    </w:p>
    <w:p>
      <w:pPr>
        <w:pStyle w:val="ListBullet"/>
      </w:pPr>
      <w:r>
        <w:t>Final RBAC permission-ID creation for unresolved cross-domain capabilities.</w:t>
      </w:r>
    </w:p>
    <w:p>
      <w:pPr>
        <w:pStyle w:val="ListBullet"/>
      </w:pPr>
      <w:r>
        <w:t>Automatic provider failover implementation as a mandatory behavior.</w:t>
      </w:r>
    </w:p>
    <w:p>
      <w:pPr>
        <w:pStyle w:val="ListBullet"/>
      </w:pPr>
      <w:r>
        <w:t>Final physical Learning Activity model dependent on MADCR-049.</w:t>
      </w:r>
    </w:p>
    <w:p>
      <w:pPr>
        <w:pStyle w:val="ListBullet"/>
      </w:pPr>
      <w:r>
        <w:t>Final physical Authority/Scope model dependent on AEP3-OD-02.</w:t>
      </w:r>
    </w:p>
    <w:p>
      <w:pPr>
        <w:pStyle w:val="ListBullet"/>
      </w:pPr>
      <w:r>
        <w:t>Inventing lifecycle/appeal storage, lineage cardinality, or temporal semantics for AEP3 OD-03…05.</w:t>
      </w:r>
    </w:p>
    <w:p>
      <w:pPr>
        <w:pStyle w:val="ListBullet"/>
      </w:pPr>
      <w:r>
        <w:t>Treating Event Registration as Session Enrollment.</w:t>
      </w:r>
    </w:p>
    <w:p>
      <w:pPr>
        <w:pStyle w:val="ListBullet"/>
      </w:pPr>
      <w:r>
        <w:t>Treating provider participation as attendance/completion.</w:t>
      </w:r>
    </w:p>
    <w:p>
      <w:pPr>
        <w:pStyle w:val="ListBullet"/>
      </w:pPr>
      <w:r>
        <w:t>Allowing Payment to directly issue LP, Credential, or Award Instance.</w:t>
      </w:r>
    </w:p>
    <w:p>
      <w:pPr>
        <w:pStyle w:val="Heading1"/>
      </w:pPr>
      <w:r>
        <w:t>9. Next Lead Action — Targeted Residual Closure Pass</w:t>
      </w:r>
    </w:p>
    <w:p>
      <w:r>
        <w:t>Karena P2 sudah selesai dan P3 masih HOLD, langkah paling tepat bukan mengulang synchronization. Saya akan memimpin Targeted Residual Closure Pass, dengan urutan berikut:</w:t>
      </w:r>
    </w:p>
    <w:p>
      <w:pPr>
        <w:pStyle w:val="ListNumber"/>
      </w:pPr>
      <w:r>
        <w:t>R1 — MADCR-049 evidence/re-evaluation: kumpulkan dan reconcile source evidence untuk Learning Activity.</w:t>
      </w:r>
    </w:p>
    <w:p>
      <w:pPr>
        <w:pStyle w:val="ListNumber"/>
      </w:pPr>
      <w:r>
        <w:t>R2 — MADCR-053/054 governance dependency: verify candidate decision evidence and prepare decision-ready material tanpa mengarang approval.</w:t>
      </w:r>
    </w:p>
    <w:p>
      <w:pPr>
        <w:pStyle w:val="ListNumber"/>
      </w:pPr>
      <w:r>
        <w:t>R3 — Provider capability verification: research evidence for Daily/LiveKit, Zoom/Google Meet, YouTube Live; capability verification is separate from vendor selection.</w:t>
      </w:r>
    </w:p>
    <w:p>
      <w:pPr>
        <w:pStyle w:val="ListNumber"/>
      </w:pPr>
      <w:r>
        <w:t>R4 — AEP3 OD-02…05 physical-readiness assessment: determine exactly which implementation choices can proceed without resolving each item and which must wait.</w:t>
      </w:r>
    </w:p>
    <w:p>
      <w:pPr>
        <w:pStyle w:val="ListNumber"/>
      </w:pPr>
      <w:r>
        <w:t>R5 — Build Technical Execution Authorization Package only after the applicable blockers are resolved or explicitly accepted by their governing gate.</w:t>
      </w:r>
    </w:p>
    <w:p>
      <w:pPr>
        <w:pStyle w:val="Heading1"/>
      </w:pPr>
      <w:r>
        <w:t>10. User Open Decision Assessment</w:t>
      </w:r>
    </w:p>
    <w:p>
      <w:r>
        <w:t>Tidak ada Open Decision baru yang harus dijawab untuk memulai R1. Existing governance dependencies sudah cukup jelas untuk evidence/research pass. Jika R1–R4 menemukan pilihan arsitektur baru atau konflik dengan approved decision, saya akan menghentikan bagian yang terdampak dan mengajukan Open Decision sebelum perubahan dilakukan.</w:t>
      </w:r>
    </w:p>
    <w:p>
      <w:pPr>
        <w:pStyle w:val="Heading1"/>
      </w:pPr>
      <w:r>
        <w:t>11. Traceability Invariants</w:t>
      </w:r>
    </w:p>
    <w:p>
      <w:pPr>
        <w:pStyle w:val="ListBullet"/>
      </w:pPr>
      <w:r>
        <w:t>Subscription ≠ Commercial Entitlement ≠ RBAC.</w:t>
      </w:r>
    </w:p>
    <w:p>
      <w:pPr>
        <w:pStyle w:val="ListBullet"/>
      </w:pPr>
      <w:r>
        <w:t>LP ≠ Commercial Entitlement.</w:t>
      </w:r>
    </w:p>
    <w:p>
      <w:pPr>
        <w:pStyle w:val="ListBullet"/>
      </w:pPr>
      <w:r>
        <w:t>Course Enrollment ≠ Session Enrollment ≠ Event Registration.</w:t>
      </w:r>
    </w:p>
    <w:p>
      <w:pPr>
        <w:pStyle w:val="ListBullet"/>
      </w:pPr>
      <w:r>
        <w:t>Provider Session ID ≠ semantic Session ID.</w:t>
      </w:r>
    </w:p>
    <w:p>
      <w:pPr>
        <w:pStyle w:val="ListBullet"/>
      </w:pPr>
      <w:r>
        <w:t>Participation Evidence ≠ Attendance ≠ Completion.</w:t>
      </w:r>
    </w:p>
    <w:p>
      <w:pPr>
        <w:pStyle w:val="ListBullet"/>
      </w:pPr>
      <w:r>
        <w:t>Completion ≠ Credential/Skill ≠ Title/Award Instance.</w:t>
      </w:r>
    </w:p>
    <w:p>
      <w:pPr>
        <w:pStyle w:val="ListBullet"/>
      </w:pPr>
      <w:r>
        <w:t>Commercial owns payment/entitlement; Learning owns LP; Session owns session evidence; Awarding owns qualification/Award Instance; RBAC owns authorization.</w:t>
      </w:r>
    </w:p>
    <w:p>
      <w:pPr>
        <w:pStyle w:val="ListBullet"/>
      </w:pPr>
      <w:r>
        <w:t>Historical snapshots/outcomes remain explainable and are not rewritten by configuration/provider changes.</w:t>
      </w:r>
    </w:p>
    <w:p>
      <w:pPr>
        <w:pStyle w:val="Heading1"/>
      </w:pPr>
      <w:r>
        <w:t>12. Source Integrity / Process Correction</w:t>
      </w:r>
    </w:p>
    <w:p>
      <w:r>
        <w:t>P1 sebelumnya menyarankan P2 sebagai langkah berikutnya karena artifact P1 belum memasukkan fakta bahwa D1–D4 sudah tersedia di corpus. Setelah current corpus diperiksa ulang, P2 status tersebut sekarang terbukti sudah executed. Oleh karena itu dokumen ini secara resmi mengoreksi sequencing operasional: tidak ada P2 re-execution; proses bergerak ke P3 gate dan residual closure.</w:t>
      </w:r>
    </w:p>
    <w:p>
      <w:pPr>
        <w:pStyle w:val="Heading1"/>
      </w:pPr>
      <w:r>
        <w:t>13. Gate Statement</w:t>
      </w:r>
    </w:p>
    <w:p>
      <w:r>
        <w:t>GLOBAL SEMANTIC BASELINE = PASS. DOWNSTREAM SEMANTIC SYNCHRONIZATION = COMPLETE. PHYSICAL IMPLEMENTATION AUTHORIZATION = HOLD. NEXT CONTROLLED ACTIVITY = TARGETED RESIDUAL CLOSURE.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