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RUMAHAGEN</w:t>
        <w:br/>
        <w:t>POST-AEP IMPLEMENTATION READINESS, RESIDUAL CLOSURE &amp; TECHNICAL EXECUTION GATE</w:t>
      </w:r>
    </w:p>
    <w:p>
      <w:pPr>
        <w:jc w:val="center"/>
      </w:pPr>
      <w:r>
        <w:rPr>
          <w:b/>
        </w:rPr>
        <w:t>Version 1.0 | 16 August 2026 | Controlled Execution Artifact</w:t>
      </w:r>
    </w:p>
    <w:p>
      <w:pPr>
        <w:pStyle w:val="Heading1"/>
      </w:pPr>
      <w:r>
        <w:t>1. Purpose</w:t>
      </w:r>
    </w:p>
    <w:p>
      <w:r>
        <w:t>Dokumen ini menjadi artifact resmi langkah setelah D6 Global AEP1–AEP4 Semantic Baseline Synchronization. Tujuannya bukan membuka kembali AEP atau approved MADCR/ADR, melainkan menentukan readiness untuk pekerjaan teknis berikutnya, mengklasifikasikan residual yang masih mengendalikan implementasi, dan menetapkan urutan eksekusi yang aman.</w:t>
      </w:r>
    </w:p>
    <w:p>
      <w:pPr>
        <w:pStyle w:val="Heading1"/>
      </w:pPr>
      <w:r>
        <w:t>2. Source / Authority Basis</w:t>
      </w:r>
    </w:p>
    <w:p>
      <w:pPr>
        <w:pStyle w:val="ListBullet"/>
      </w:pPr>
      <w:r>
        <w:t>RUMAHAGEN-CROSS-AEP-STEP-10-D6-POST-EDIT-RECONCILIATION-v1.0 — global semantic baseline PASS; implementation holds and controlled residuals.</w:t>
      </w:r>
    </w:p>
    <w:p>
      <w:pPr>
        <w:pStyle w:val="ListBullet"/>
      </w:pPr>
      <w:r>
        <w:t>RUMAHAGEN-CROSS-AEP-STEP-03-GLOBAL-SYNC-EXECUTION-PLAN-CHANGE-MAP-v1.0 — controlled baseline editing and pre-edit rules.</w:t>
      </w:r>
    </w:p>
    <w:p>
      <w:pPr>
        <w:pStyle w:val="ListBullet"/>
      </w:pPr>
      <w:r>
        <w:t>RUMAHAGEN-CROSS-AEP-STEP-09-D5-POST-EDIT-RECONCILIATION-v1.0 — cross-domain authority and contradiction scan.</w:t>
      </w:r>
    </w:p>
    <w:p>
      <w:pPr>
        <w:pStyle w:val="ListBullet"/>
      </w:pPr>
      <w:r>
        <w:t>RUMAHAGEN AEP SYNCHRONIZATION EXECUTION LOCK v1.0 — locked AEP order, two-layer synchronization and artifact continuity.</w:t>
      </w:r>
    </w:p>
    <w:p>
      <w:pPr>
        <w:pStyle w:val="ListBullet"/>
      </w:pPr>
      <w:r>
        <w:t>Cross-AEP Step 02 Architecture Delta &amp; Dependency Specification v1.0 — canonical cross-domain contracts and dependency ordering.</w:t>
      </w:r>
    </w:p>
    <w:p>
      <w:pPr>
        <w:pStyle w:val="ListBullet"/>
      </w:pPr>
      <w:r>
        <w:t>AEP4 Engineering Guidebook / Playbook Impact and Test/BR Traceability — provider, authorization, idempotency, provenance and test boundaries.</w:t>
      </w:r>
    </w:p>
    <w:p>
      <w:pPr>
        <w:pStyle w:val="ListBullet"/>
      </w:pPr>
      <w:r>
        <w:t>AEP2 Engineering Guidebook / Playbook Impact — Learning Point ledger, purchased LP, payment handoff and competency boundaries.</w:t>
      </w:r>
    </w:p>
    <w:p>
      <w:pPr>
        <w:pStyle w:val="ListBullet"/>
      </w:pPr>
      <w:r>
        <w:t>MAEDR Batch 1 Post-Approval Reconciliation v1.3 — governing Commercial/Payment boundary and residual treatment.</w:t>
      </w:r>
    </w:p>
    <w:p>
      <w:pPr>
        <w:pStyle w:val="Heading1"/>
      </w:pPr>
      <w:r>
        <w:t>3. Current Gate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POST-AEP IMPLEMENTATION READINESS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Planning / sequencing readiness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Residual closure readiness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PASS WITH CONTROLLED RESIDUALS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Physical implementation 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HOLD — NOT GRANTED BY THIS GATE</w:t>
            </w:r>
          </w:p>
        </w:tc>
      </w:tr>
    </w:tbl>
    <w:p>
      <w:r>
        <w:t>Kesimpulan: proyek siap memasuki fase controlled technical preparation dan residual-closure work, tetapi belum boleh menganggap physical migration, production provider activation, final permission IDs, atau unresolved physical design sebagai authorized implementation.</w:t>
      </w:r>
    </w:p>
    <w:p>
      <w:pPr>
        <w:pStyle w:val="Heading1"/>
      </w:pPr>
      <w:r>
        <w:t>4. Canonical Cross-Domain Authority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Domain / Capability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Authority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Non-negotiable Boundary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Commercial / Payment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Payment + Commercial Entitlement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Payment outcome does not become LP, credential or award authority.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Learning Economy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Learning Point transaction / provenance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Session does not write LP; purchased LP consumes trusted commercial outcome.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Learning 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Session lifecycle + evidence evaluation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Session ≠ Course Enrollment ≠ Event Registration.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RBAC / Authorization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Authorization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Entitlement and qualification are not RBAC.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Awarding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Qualification + Award Instance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Learning completion/certificate does not directly create Award Instance.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Event Calendar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Integration / presentation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Event may discover/surface Session; Event Registration is not Session Enrollment.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Infrastructure / evidence 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Provider identity is not semantic Session identity; adapter normalizes evidence.</w:t>
            </w:r>
          </w:p>
        </w:tc>
      </w:tr>
    </w:tbl>
    <w:p>
      <w:pPr>
        <w:pStyle w:val="Heading1"/>
      </w:pPr>
      <w:r>
        <w:t>5. Controlled Residual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Residual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Current Status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Implementation Impact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Treatment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Gate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MADCR-049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RE-EVALUATION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Do not finalize Learning Activity physical/API contract; resolve from evidence/governance.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Conditional blocker for affected Learning→Session→Award evidence implementation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MADCR-053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GOVERNANCE DEPENDENCY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Define cross-domain permission taxonomy before exact permission IDs.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Block exact RBAC IDs / final authorization implementation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MADCR-054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GOVERNANCE DEPENDENCY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Resolve Host vs Instructor authority; do not infer equivalence.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Block final host/instructor authorization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AEP3-OD-02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CONTROLLED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Keep Authority/Scope cardinality logical until physical design gate.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Block physical authority/RLS cardinality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AEP3-OD-03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CONTROLLED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Choose lifecycle/appeal storage only at downstream engineering gate.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Defer physical storage decision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AEP3-OD-04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CONTROLLED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Preserve rule lineage; defer unsupported physical cardinality.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Defer physical lineage FK/cardinality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AEP3-OD-05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CONTROLLED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Do not invent effective-date invariant.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Defer temporal implementation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AEP4-OD-08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DEFERRED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Automatic failover remains optional/deferred; controlled/manual switching is the current safe semantic path.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Do not implement mandatory automatic failover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Provider capability verification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RESEARCH REQUIRED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HIGH for production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Verify Daily/LiveKit/Zoom/Google Meet/YouTube capability, auth/OAuth, quota, plan and policy evidence.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Required before production provider binding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OPEN-C01 / MADCR-012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NON-BLOCKING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LOW-MEDIUM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Clarify provenance/relationship of AEP-MON-001 ↔ AEP-MON-002; no hierarchy inference.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Governance maintenance; does not reopen MADCR-011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MBR-COM-001–013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EVIDENCE GAP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Recover/verify source content; do not invent mappings.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Evidence closure before claiming complete commercial BR mapping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Session/Event / attendance / capacity / visibility / recording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/ DOWNSTREAM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Finalize only from controlled product/engineering decisions.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Defer exact implementation policy</w:t>
            </w:r>
          </w:p>
        </w:tc>
      </w:tr>
    </w:tbl>
    <w:p>
      <w:pPr>
        <w:pStyle w:val="Heading1"/>
      </w:pPr>
      <w:r>
        <w:t>6. What Can Proceed Now</w:t>
      </w:r>
    </w:p>
    <w:p>
      <w:pPr>
        <w:pStyle w:val="ListBullet"/>
      </w:pPr>
      <w:r>
        <w:t>Controlled technical preparation and implementation design planning.</w:t>
      </w:r>
    </w:p>
    <w:p>
      <w:pPr>
        <w:pStyle w:val="ListBullet"/>
      </w:pPr>
      <w:r>
        <w:t>Exact current-baseline inspection/diff for ERD, Schema/Dictionary, API, RBAC, User Flow, PRD, Engineering Guidebook and Test artifacts where required.</w:t>
      </w:r>
    </w:p>
    <w:p>
      <w:pPr>
        <w:pStyle w:val="ListBullet"/>
      </w:pPr>
      <w:r>
        <w:t>Preparation of controlled physical ERD/schema deltas only where governing dependencies are sufficiently resolved.</w:t>
      </w:r>
    </w:p>
    <w:p>
      <w:pPr>
        <w:pStyle w:val="ListBullet"/>
      </w:pPr>
      <w:r>
        <w:t>Preparation of provider-neutral API and adapter contracts, keeping vendor payloads behind the adapter boundary.</w:t>
      </w:r>
    </w:p>
    <w:p>
      <w:pPr>
        <w:pStyle w:val="ListBullet"/>
      </w:pPr>
      <w:r>
        <w:t>Preparation of test suites for state machines, authorization chain, idempotency, evidence/provenance, cross-domain boundaries and failure/recovery.</w:t>
      </w:r>
    </w:p>
    <w:p>
      <w:pPr>
        <w:pStyle w:val="ListBullet"/>
      </w:pPr>
      <w:r>
        <w:t>Residual evidence recovery and governance work without reopening approved decisions.</w:t>
      </w:r>
    </w:p>
    <w:p>
      <w:pPr>
        <w:pStyle w:val="ListBullet"/>
      </w:pPr>
      <w:r>
        <w:t>Migration assessment and data-impact analysis; execution of migration remains separately gated.</w:t>
      </w:r>
    </w:p>
    <w:p>
      <w:pPr>
        <w:pStyle w:val="Heading1"/>
      </w:pPr>
      <w:r>
        <w:t>7. What Must NOT Proceed Yet</w:t>
      </w:r>
    </w:p>
    <w:p>
      <w:pPr>
        <w:pStyle w:val="ListBullet"/>
      </w:pPr>
      <w:r>
        <w:t>Physical database migration execution based only on AEP impact artifacts.</w:t>
      </w:r>
    </w:p>
    <w:p>
      <w:pPr>
        <w:pStyle w:val="ListBullet"/>
      </w:pPr>
      <w:r>
        <w:t>Production activation of a payment or learning-session provider without the applicable provider capability and governance evidence.</w:t>
      </w:r>
    </w:p>
    <w:p>
      <w:pPr>
        <w:pStyle w:val="ListBullet"/>
      </w:pPr>
      <w:r>
        <w:t>Final unresolved RBAC permission IDs or assuming Instructor = Host.</w:t>
      </w:r>
    </w:p>
    <w:p>
      <w:pPr>
        <w:pStyle w:val="ListBullet"/>
      </w:pPr>
      <w:r>
        <w:t>Mandatory automatic provider failover while AEP4-OD-08 remains open.</w:t>
      </w:r>
    </w:p>
    <w:p>
      <w:pPr>
        <w:pStyle w:val="ListBullet"/>
      </w:pPr>
      <w:r>
        <w:t>Final physical/API contract for Learning Activity while MADCR-049 remains open/re-evaluation.</w:t>
      </w:r>
    </w:p>
    <w:p>
      <w:pPr>
        <w:pStyle w:val="ListBullet"/>
      </w:pPr>
      <w:r>
        <w:t>Inventing physical cardinality/storage/temporal rules for AEP3 OD-02…05.</w:t>
      </w:r>
    </w:p>
    <w:p>
      <w:pPr>
        <w:pStyle w:val="ListBullet"/>
      </w:pPr>
      <w:r>
        <w:t>Treating Event Registration as Session Enrollment or provider meeting ID as semantic Session identity.</w:t>
      </w:r>
    </w:p>
    <w:p>
      <w:pPr>
        <w:pStyle w:val="ListBullet"/>
      </w:pPr>
      <w:r>
        <w:t>Making payment success directly issue Learning Points, credentials or Award Instances.</w:t>
      </w:r>
    </w:p>
    <w:p>
      <w:pPr>
        <w:pStyle w:val="ListBullet"/>
      </w:pPr>
      <w:r>
        <w:t>Overwriting historical AEP packages or stale snapshots merely to make the corpus look current.</w:t>
      </w:r>
    </w:p>
    <w:p>
      <w:pPr>
        <w:pStyle w:val="Heading1"/>
      </w:pPr>
      <w:r>
        <w:t>8. Controlled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Exit Condition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Artifact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Residual + evidence closure preparation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Residual owner/gate and evidence requirements are explicit.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Residual Closure Register / Gate record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Current technical baseline verification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Canonical ERD/API/RBAC/Schema/PRD/User Flow/Engineering/Test evidence is verified.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Current Baseline Evidence Pack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Physical design readiness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Only sufficiently governed decisions are translated into physical design.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Controlled ERD/Schema/API/RBAC Delta Specifications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Implementation authorization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All applicable blocking residuals resolved or explicitly accepted by their governing gate.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Technical Execution Authorization Gate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Implementation in controlled 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Migration/coding/integration follows approved deltas and test obligations.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Implementation + migration + test artifacts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Post-implementation reconciliation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Actual implementation matches governed baseline and residuals remain visible.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Implementation Reconciliation / Baseline Update</w:t>
            </w:r>
          </w:p>
        </w:tc>
      </w:tr>
    </w:tbl>
    <w:p>
      <w:pPr>
        <w:pStyle w:val="Heading1"/>
      </w:pPr>
      <w:r>
        <w:t>9. Immediate Next Action — P1 Current Technical Baseline Verification</w:t>
      </w:r>
    </w:p>
    <w:p>
      <w:r>
        <w:t>Saya memimpin proses berikutnya dengan memulai P1, bukan langsung coding/migration. Tujuan P1 adalah menghasilkan evidence pack yang menunjukkan file baseline mana yang benar-benar tersedia, versi canonical-nya, dan apakah setiap AEP delta dapat dipetakan ke artefak teknis aktual tanpa asumsi.</w:t>
      </w:r>
    </w:p>
    <w:p>
      <w:pPr>
        <w:pStyle w:val="ListNumber"/>
      </w:pPr>
      <w:r>
        <w:t>ERD + Database Dictionary/Schema: identify KEEP / EVOLVE / MISSING / LEGACY / CONFLICT / OPEN.</w:t>
      </w:r>
    </w:p>
    <w:p>
      <w:pPr>
        <w:pStyle w:val="ListNumber"/>
      </w:pPr>
      <w:r>
        <w:t>API: verify current endpoint/resource conventions and identify semantic deltas; final payloads remain conditional where governance is open.</w:t>
      </w:r>
    </w:p>
    <w:p>
      <w:pPr>
        <w:pStyle w:val="ListNumber"/>
      </w:pPr>
      <w:r>
        <w:t>RBAC/Authorization: verify current role/permission catalogue and isolate exact IDs from semantic capability requirements.</w:t>
      </w:r>
    </w:p>
    <w:p>
      <w:pPr>
        <w:pStyle w:val="ListNumber"/>
      </w:pPr>
      <w:r>
        <w:t>PRD/User Flow: verify current product semantics against Event/Session, Commercial access, Learning Economy and Awarding boundaries.</w:t>
      </w:r>
    </w:p>
    <w:p>
      <w:pPr>
        <w:pStyle w:val="ListNumber"/>
      </w:pPr>
      <w:r>
        <w:t>Engineering/Test: verify guardrails for provider adapter, idempotency, audit/provenance, state machines and cross-domain authority.</w:t>
      </w:r>
    </w:p>
    <w:p>
      <w:pPr>
        <w:pStyle w:val="ListNumber"/>
      </w:pPr>
      <w:r>
        <w:t>Migration SQL: classify as historical/candidate/current execution artifact; do not execute merely because a file exists.</w:t>
      </w:r>
    </w:p>
    <w:p>
      <w:pPr>
        <w:pStyle w:val="Heading1"/>
      </w:pPr>
      <w:r>
        <w:t>10. User Open Decision Assessment</w:t>
      </w:r>
    </w:p>
    <w:p>
      <w:r>
        <w:t>NO NEW USER OPEN DECISION IS REQUIRED TO START P1. Existing residuals are sufficiently bounded to continue controlled work. If P1 encounters a conflict that changes an approved decision or requires a new semantic choice, execution must stop at that point and the decision must be raised before the affected artifact is finalized.</w:t>
      </w:r>
    </w:p>
    <w:p>
      <w:r>
        <w:t>Important: this is not a closure of the existing residuals. MADCR-049, MADCR-053/054, AEP3-OD-02…05, AEP4-OD-08, OPEN-C01 and MBR-COM-001–013 remain explicitly open/controlled according to their source status.</w:t>
      </w:r>
    </w:p>
    <w:p>
      <w:pPr>
        <w:pStyle w:val="Heading1"/>
      </w:pPr>
      <w:r>
        <w:t>11. Traceability / Invariants to Carry Into P1+</w:t>
      </w:r>
    </w:p>
    <w:p>
      <w:pPr>
        <w:pStyle w:val="ListBullet"/>
      </w:pPr>
      <w:r>
        <w:t>Subscription ≠ Commercial Entitlement ≠ RBAC.</w:t>
      </w:r>
    </w:p>
    <w:p>
      <w:pPr>
        <w:pStyle w:val="ListBullet"/>
      </w:pPr>
      <w:r>
        <w:t>Learning Points ≠ Commercial Entitlement.</w:t>
      </w:r>
    </w:p>
    <w:p>
      <w:pPr>
        <w:pStyle w:val="ListBullet"/>
      </w:pPr>
      <w:r>
        <w:t>Course Enrollment ≠ Session Enrollment ≠ Event Registration.</w:t>
      </w:r>
    </w:p>
    <w:p>
      <w:pPr>
        <w:pStyle w:val="ListBullet"/>
      </w:pPr>
      <w:r>
        <w:t>Provider Session ID ≠ semantic Learning Session ID.</w:t>
      </w:r>
    </w:p>
    <w:p>
      <w:pPr>
        <w:pStyle w:val="ListBullet"/>
      </w:pPr>
      <w:r>
        <w:t>Provider participation/evidence ≠ Attendance Outcome ≠ Completion Outcome.</w:t>
      </w:r>
    </w:p>
    <w:p>
      <w:pPr>
        <w:pStyle w:val="ListBullet"/>
      </w:pPr>
      <w:r>
        <w:t>Completion ≠ Skill/Credential ≠ Title/Award Instance.</w:t>
      </w:r>
    </w:p>
    <w:p>
      <w:pPr>
        <w:pStyle w:val="ListBullet"/>
      </w:pPr>
      <w:r>
        <w:t>Commercial/Payment provides trusted outcome; downstream domains consume it without duplicating payment authority.</w:t>
      </w:r>
    </w:p>
    <w:p>
      <w:pPr>
        <w:pStyle w:val="ListBullet"/>
      </w:pPr>
      <w:r>
        <w:t>Learning Economy owns LP processing and provenance.</w:t>
      </w:r>
    </w:p>
    <w:p>
      <w:pPr>
        <w:pStyle w:val="ListBullet"/>
      </w:pPr>
      <w:r>
        <w:t>Awarding owns qualification and Award Instance.</w:t>
      </w:r>
    </w:p>
    <w:p>
      <w:pPr>
        <w:pStyle w:val="ListBullet"/>
      </w:pPr>
      <w:r>
        <w:t>Provider adapter validates, normalizes, correlates and idempotently processes external events.</w:t>
      </w:r>
    </w:p>
    <w:p>
      <w:pPr>
        <w:pStyle w:val="ListBullet"/>
      </w:pPr>
      <w:r>
        <w:t>Historical outcomes must remain explainable after configuration/provider changes.</w:t>
      </w:r>
    </w:p>
    <w:p>
      <w:pPr>
        <w:pStyle w:val="Heading1"/>
      </w:pPr>
      <w:r>
        <w:t>12. Gate Decision</w:t>
      </w:r>
    </w:p>
    <w:p>
      <w:r>
        <w:rPr>
          <w:b/>
        </w:rPr>
        <w:t>RESULT: PASS WITH CONTROLLED HOLDS.</w:t>
      </w:r>
    </w:p>
    <w:p>
      <w:r>
        <w:t>The project is ready to proceed into controlled technical baseline verification and implementation preparation. The project is NOT yet at a blanket physical implementation authorization gate. The correct next work is evidence-driven technical baseline verification followed by controlled delta specifications and an independent execution authorization gate.</w:t>
      </w:r>
    </w:p>
    <w:p>
      <w:pPr>
        <w:pStyle w:val="Heading1"/>
      </w:pPr>
      <w:r>
        <w:t>13. Continuity Statement</w:t>
      </w:r>
    </w:p>
    <w:p>
      <w:r>
        <w:t>Artifact ini menjadi continuity record setelah D6. Chat tidak boleh menjadi satu-satunya record. Setiap langkah berikutnya yang selesai harus menghasilkan artifact tersendiri dan status gate-nya harus dapat ditelusuri ke source governance/AEP/BR yang relevan.</w:t>
      </w:r>
    </w:p>
    <w:p>
      <w:pPr>
        <w:pStyle w:val="Heading1"/>
      </w:pPr>
      <w:r>
        <w:t>14. Source Notes</w:t>
      </w:r>
    </w:p>
    <w:p>
      <w:r>
        <w:t>Status dan batasan dalam dokumen ini diturunkan dari corpus File Library RUMAHAGEN yang telah direkonsiliasi, khususnya D6, D5, Step 03 Change Map, AEP Synchronization Execution Lock, AEP2/AEP4 engineering and traceability artifacts, serta MAEDR Batch 1 v1.3. Tidak ada residual yang ditutup melalui inferensi.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