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RUMAHAGEN</w:t>
        <w:br/>
        <w:t>R1 — MADCR-049 EVIDENCE RECOVERY &amp; RE-EVALUATION</w:t>
      </w:r>
    </w:p>
    <w:p>
      <w:pPr>
        <w:jc w:val="center"/>
      </w:pPr>
      <w:r>
        <w:rPr>
          <w:b/>
        </w:rPr>
        <w:t>Version 1.0 | 16 August 2026 | Evidence Update — No Closure / No Implementation Authorization</w:t>
      </w:r>
    </w:p>
    <w:p>
      <w:pPr>
        <w:pStyle w:val="Heading1"/>
      </w:pPr>
      <w:r>
        <w:t>1. Purpose</w:t>
      </w:r>
    </w:p>
    <w:p>
      <w:r>
        <w:t>R1 memeriksa ulang MADCR-049 menggunakan seluruh corpus proyek yang tersedia, termasuk domain AEP, Business Rules, AEP2/AEP4 downstream artifacts, dan cross-AEP reconciliation. Fokusnya adalah memverifikasi apakah klaim evidence gap yang tercatat dalam evidence-recovery artifacts masih berlaku pada corpus terbaru.</w:t>
      </w:r>
    </w:p>
    <w:p>
      <w:pPr>
        <w:pStyle w:val="Heading1"/>
      </w:pPr>
      <w:r>
        <w:t>2. Material Correction Found</w:t>
      </w:r>
    </w:p>
    <w:p>
      <w:r>
        <w:rPr>
          <w:b/>
        </w:rPr>
        <w:t>HASIL UTAMA: evidence gap lama untuk istilah “Learning Activity” tidak lagi valid sebagai klaim corpus-wide.</w:t>
      </w:r>
    </w:p>
    <w:p>
      <w:r>
        <w:t>Evidence-recovery artifacts lama menyatakan bahwa istilah tersebut tidak ditemukan di AEP Learning Economy maupun AEP Learning Session. Pemeriksaan ulang corpus terbaru menemukan penggunaan dan aturan eksplisit pada kedua domain AEP serta Business Rules Learning Economy. Karena itu, status 'term undefined / absent from domain AEP' harus diperlakukan sebagai historical evidence-state statement, bukan current evidence state.</w:t>
      </w:r>
    </w:p>
    <w:p>
      <w:pPr>
        <w:pStyle w:val="Heading1"/>
      </w:pPr>
      <w:r>
        <w:t>3. Recovered Source Evidence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6"/>
              </w:rPr>
              <w:t>Source</w:t>
            </w:r>
          </w:p>
        </w:tc>
        <w:tc>
          <w:tcPr>
            <w:tcW w:type="dxa" w:w="2556"/>
            <w:vAlign w:val="center"/>
            <w:shd w:fill="D9EAF7"/>
          </w:tcPr>
          <w:p>
            <w:r/>
            <w:r>
              <w:rPr>
                <w:b/>
                <w:sz w:val="16"/>
              </w:rPr>
              <w:t>Recovered Evidence</w:t>
            </w:r>
          </w:p>
        </w:tc>
        <w:tc>
          <w:tcPr>
            <w:tcW w:type="dxa" w:w="2556"/>
            <w:vAlign w:val="center"/>
            <w:shd w:fill="D9EAF7"/>
          </w:tcPr>
          <w:p>
            <w:r/>
            <w:r>
              <w:rPr>
                <w:b/>
                <w:sz w:val="16"/>
              </w:rPr>
              <w:t>Meaning</w:t>
            </w:r>
          </w:p>
        </w:tc>
        <w:tc>
          <w:tcPr>
            <w:tcW w:type="dxa" w:w="2556"/>
            <w:vAlign w:val="center"/>
            <w:shd w:fill="D9EAF7"/>
          </w:tcPr>
          <w:p>
            <w:r/>
            <w:r>
              <w:rPr>
                <w:b/>
                <w:sz w:val="16"/>
              </w:rPr>
              <w:t>Authority Treatment</w:t>
            </w:r>
          </w:p>
        </w:tc>
      </w:tr>
      <w:tr>
        <w:tc>
          <w:tcPr>
            <w:tcW w:type="dxa" w:w="2556"/>
            <w:vAlign w:val="center"/>
          </w:tcPr>
          <w:p>
            <w:r/>
            <w:r>
              <w:rPr>
                <w:b w:val="0"/>
                <w:sz w:val="16"/>
              </w:rPr>
              <w:t>AEP Learning Economy v1.0</w:t>
            </w:r>
          </w:p>
        </w:tc>
        <w:tc>
          <w:tcPr>
            <w:tcW w:type="dxa" w:w="2556"/>
            <w:vAlign w:val="center"/>
          </w:tcPr>
          <w:p>
            <w:r/>
            <w:r>
              <w:rPr>
                <w:b w:val="0"/>
                <w:sz w:val="16"/>
              </w:rPr>
              <w:t>§6 Learning Activity Architecture: activities are the mechanism through which an agent learns and may earn points; categories include learning content, course/module completion, practice, assignment, mission and configured activities; reward/completion/prerequisite/availability/progression/assessment can be configured.</w:t>
            </w:r>
          </w:p>
        </w:tc>
        <w:tc>
          <w:tcPr>
            <w:tcW w:type="dxa" w:w="2556"/>
            <w:vAlign w:val="center"/>
          </w:tcPr>
          <w:p>
            <w:r/>
            <w:r>
              <w:rPr>
                <w:b w:val="0"/>
                <w:sz w:val="16"/>
              </w:rPr>
              <w:t>Learning Activity is an explicit Learning Economy concept and is broader than a single content format.</w:t>
            </w:r>
          </w:p>
        </w:tc>
        <w:tc>
          <w:tcPr>
            <w:tcW w:type="dxa" w:w="2556"/>
            <w:vAlign w:val="center"/>
          </w:tcPr>
          <w:p>
            <w:r/>
            <w:r>
              <w:rPr>
                <w:b w:val="0"/>
                <w:sz w:val="16"/>
              </w:rPr>
              <w:t>Domain-source evidence; not a MADCR-049 approval.</w:t>
            </w:r>
          </w:p>
        </w:tc>
      </w:tr>
      <w:tr>
        <w:tc>
          <w:tcPr>
            <w:tcW w:type="dxa" w:w="2556"/>
            <w:vAlign w:val="center"/>
          </w:tcPr>
          <w:p>
            <w:r/>
            <w:r>
              <w:rPr>
                <w:b w:val="0"/>
                <w:sz w:val="16"/>
              </w:rPr>
              <w:t>Business Rules Learning Economy v1.0</w:t>
            </w:r>
          </w:p>
        </w:tc>
        <w:tc>
          <w:tcPr>
            <w:tcW w:type="dxa" w:w="2556"/>
            <w:vAlign w:val="center"/>
          </w:tcPr>
          <w:p>
            <w:r/>
            <w:r>
              <w:rPr>
                <w:b w:val="0"/>
                <w:sz w:val="16"/>
              </w:rPr>
              <w:t>LE-011–014: Learning Activity is the earning source; activity type is extensible; activity has configurable reward/completion/prerequisite/availability/progression/assessment; completion must be determinable.</w:t>
            </w:r>
          </w:p>
        </w:tc>
        <w:tc>
          <w:tcPr>
            <w:tcW w:type="dxa" w:w="2556"/>
            <w:vAlign w:val="center"/>
          </w:tcPr>
          <w:p>
            <w:r/>
            <w:r>
              <w:rPr>
                <w:b w:val="0"/>
                <w:sz w:val="16"/>
              </w:rPr>
              <w:t>The concept has normative BR support and is not merely a CAIA label.</w:t>
            </w:r>
          </w:p>
        </w:tc>
        <w:tc>
          <w:tcPr>
            <w:tcW w:type="dxa" w:w="2556"/>
            <w:vAlign w:val="center"/>
          </w:tcPr>
          <w:p>
            <w:r/>
            <w:r>
              <w:rPr>
                <w:b w:val="0"/>
                <w:sz w:val="16"/>
              </w:rPr>
              <w:t>Normative BR evidence; still does not decide the Course-vs-Activity boundary.</w:t>
            </w:r>
          </w:p>
        </w:tc>
      </w:tr>
      <w:tr>
        <w:tc>
          <w:tcPr>
            <w:tcW w:type="dxa" w:w="2556"/>
            <w:vAlign w:val="center"/>
          </w:tcPr>
          <w:p>
            <w:r/>
            <w:r>
              <w:rPr>
                <w:b w:val="0"/>
                <w:sz w:val="16"/>
              </w:rPr>
              <w:t>Learning Session AEP + BR v1.0</w:t>
            </w:r>
          </w:p>
        </w:tc>
        <w:tc>
          <w:tcPr>
            <w:tcW w:type="dxa" w:w="2556"/>
            <w:vAlign w:val="center"/>
          </w:tcPr>
          <w:p>
            <w:r/>
            <w:r>
              <w:rPr>
                <w:b w:val="0"/>
                <w:sz w:val="16"/>
              </w:rPr>
              <w:t>Session completion flows through Completion Policy → Learning Activity Completion → Learning Economy; LS-033 says session completion does not bypass activity rules; LS-034 gives reward ownership to Learning Activity/Learning Economy; LS-035 prevents Session from directly creating official LP.</w:t>
            </w:r>
          </w:p>
        </w:tc>
        <w:tc>
          <w:tcPr>
            <w:tcW w:type="dxa" w:w="2556"/>
            <w:vAlign w:val="center"/>
          </w:tcPr>
          <w:p>
            <w:r/>
            <w:r>
              <w:rPr>
                <w:b w:val="0"/>
                <w:sz w:val="16"/>
              </w:rPr>
              <w:t>Learning Activity is the downstream semantic boundary between session completion and Learning Economy reward.</w:t>
            </w:r>
          </w:p>
        </w:tc>
        <w:tc>
          <w:tcPr>
            <w:tcW w:type="dxa" w:w="2556"/>
            <w:vAlign w:val="center"/>
          </w:tcPr>
          <w:p>
            <w:r/>
            <w:r>
              <w:rPr>
                <w:b w:val="0"/>
                <w:sz w:val="16"/>
              </w:rPr>
              <w:t>Domain-source evidence; final evidence model remains MADCR-049-dependent.</w:t>
            </w:r>
          </w:p>
        </w:tc>
      </w:tr>
      <w:tr>
        <w:tc>
          <w:tcPr>
            <w:tcW w:type="dxa" w:w="2556"/>
            <w:vAlign w:val="center"/>
          </w:tcPr>
          <w:p>
            <w:r/>
            <w:r>
              <w:rPr>
                <w:b w:val="0"/>
                <w:sz w:val="16"/>
              </w:rPr>
              <w:t>Current Architecture Impact Analysis</w:t>
            </w:r>
          </w:p>
        </w:tc>
        <w:tc>
          <w:tcPr>
            <w:tcW w:type="dxa" w:w="2556"/>
            <w:vAlign w:val="center"/>
          </w:tcPr>
          <w:p>
            <w:r/>
            <w:r>
              <w:rPr>
                <w:b w:val="0"/>
                <w:sz w:val="16"/>
              </w:rPr>
              <w:t>Target architecture lists Course / Learning Activity, Learning Path and Learning Session; it also states Learning Activity = learning outcome and identifies 'Learning Activity vs existing Course model' as a Gate-1 question.</w:t>
            </w:r>
          </w:p>
        </w:tc>
        <w:tc>
          <w:tcPr>
            <w:tcW w:type="dxa" w:w="2556"/>
            <w:vAlign w:val="center"/>
          </w:tcPr>
          <w:p>
            <w:r/>
            <w:r>
              <w:rPr>
                <w:b w:val="0"/>
                <w:sz w:val="16"/>
              </w:rPr>
              <w:t>Confirms the remaining issue is specifically the relationship/boundary with the existing M04 Course model.</w:t>
            </w:r>
          </w:p>
        </w:tc>
        <w:tc>
          <w:tcPr>
            <w:tcW w:type="dxa" w:w="2556"/>
            <w:vAlign w:val="center"/>
          </w:tcPr>
          <w:p>
            <w:r/>
            <w:r>
              <w:rPr>
                <w:b w:val="0"/>
                <w:sz w:val="16"/>
              </w:rPr>
              <w:t>Cross-architecture evidence; question remains open.</w:t>
            </w:r>
          </w:p>
        </w:tc>
      </w:tr>
      <w:tr>
        <w:tc>
          <w:tcPr>
            <w:tcW w:type="dxa" w:w="2556"/>
            <w:vAlign w:val="center"/>
          </w:tcPr>
          <w:p>
            <w:r/>
            <w:r>
              <w:rPr>
                <w:b w:val="0"/>
                <w:sz w:val="16"/>
              </w:rPr>
              <w:t>AEP2 downstream artifacts</w:t>
            </w:r>
          </w:p>
        </w:tc>
        <w:tc>
          <w:tcPr>
            <w:tcW w:type="dxa" w:w="2556"/>
            <w:vAlign w:val="center"/>
          </w:tcPr>
          <w:p>
            <w:r/>
            <w:r>
              <w:rPr>
                <w:b w:val="0"/>
                <w:sz w:val="16"/>
              </w:rPr>
              <w:t>D2 architecture/API/PRD/test artifacts use Learning Activity as a semantic capability and explicitly state that final evidence semantics remain conditional on MADCR-049.</w:t>
            </w:r>
          </w:p>
        </w:tc>
        <w:tc>
          <w:tcPr>
            <w:tcW w:type="dxa" w:w="2556"/>
            <w:vAlign w:val="center"/>
          </w:tcPr>
          <w:p>
            <w:r/>
            <w:r>
              <w:rPr>
                <w:b w:val="0"/>
                <w:sz w:val="16"/>
              </w:rPr>
              <w:t>Downstream synchronization already depends on a defined semantic concept while preserving governance residual.</w:t>
            </w:r>
          </w:p>
        </w:tc>
        <w:tc>
          <w:tcPr>
            <w:tcW w:type="dxa" w:w="2556"/>
            <w:vAlign w:val="center"/>
          </w:tcPr>
          <w:p>
            <w:r/>
            <w:r>
              <w:rPr>
                <w:b w:val="0"/>
                <w:sz w:val="16"/>
              </w:rPr>
              <w:t>Controlled downstream evidence; not closure of MADCR-049.</w:t>
            </w:r>
          </w:p>
        </w:tc>
      </w:tr>
      <w:tr>
        <w:tc>
          <w:tcPr>
            <w:tcW w:type="dxa" w:w="2556"/>
            <w:vAlign w:val="center"/>
          </w:tcPr>
          <w:p>
            <w:r/>
            <w:r>
              <w:rPr>
                <w:b w:val="0"/>
                <w:sz w:val="16"/>
              </w:rPr>
              <w:t>AEP4/D3 reconciliation</w:t>
            </w:r>
          </w:p>
        </w:tc>
        <w:tc>
          <w:tcPr>
            <w:tcW w:type="dxa" w:w="2556"/>
            <w:vAlign w:val="center"/>
          </w:tcPr>
          <w:p>
            <w:r/>
            <w:r>
              <w:rPr>
                <w:b w:val="0"/>
                <w:sz w:val="16"/>
              </w:rPr>
              <w:t>Session → qualifying completion → Learning Activity → Learning Economy; MADCR-049 remains the controlled residual.</w:t>
            </w:r>
          </w:p>
        </w:tc>
        <w:tc>
          <w:tcPr>
            <w:tcW w:type="dxa" w:w="2556"/>
            <w:vAlign w:val="center"/>
          </w:tcPr>
          <w:p>
            <w:r/>
            <w:r>
              <w:rPr>
                <w:b w:val="0"/>
                <w:sz w:val="16"/>
              </w:rPr>
              <w:t>Confirms cross-AEP handoff without transferring LP authority to Session.</w:t>
            </w:r>
          </w:p>
        </w:tc>
        <w:tc>
          <w:tcPr>
            <w:tcW w:type="dxa" w:w="2556"/>
            <w:vAlign w:val="center"/>
          </w:tcPr>
          <w:p>
            <w:r/>
            <w:r>
              <w:rPr>
                <w:b w:val="0"/>
                <w:sz w:val="16"/>
              </w:rPr>
              <w:t>Cross-AEP evidence; residual remains open.</w:t>
            </w:r>
          </w:p>
        </w:tc>
      </w:tr>
    </w:tbl>
    <w:p>
      <w:pPr>
        <w:pStyle w:val="Heading1"/>
      </w:pPr>
      <w:r>
        <w:t>4. What R1 Now Establishes</w:t>
      </w:r>
    </w:p>
    <w:p>
      <w:pPr>
        <w:pStyle w:val="ListBullet"/>
      </w:pPr>
      <w:r>
        <w:t>Learning Activity is a real, source-supported domain concept; it is not merely an undefined term invented by CAIA.</w:t>
      </w:r>
    </w:p>
    <w:p>
      <w:pPr>
        <w:pStyle w:val="ListBullet"/>
      </w:pPr>
      <w:r>
        <w:t>Learning Activity is extensible and may represent content completion, course/module completion, practice, assignment, mission, or other configured learning activity.</w:t>
      </w:r>
    </w:p>
    <w:p>
      <w:pPr>
        <w:pStyle w:val="ListBullet"/>
      </w:pPr>
      <w:r>
        <w:t>Learning Activity carries/uses completion conditions and reward configuration; completion must be determinable before reward issuance.</w:t>
      </w:r>
    </w:p>
    <w:p>
      <w:pPr>
        <w:pStyle w:val="ListBullet"/>
      </w:pPr>
      <w:r>
        <w:t>Learning Session completion does not directly issue Learning Points; it may feed a qualifying Learning Activity completion boundary.</w:t>
      </w:r>
    </w:p>
    <w:p>
      <w:pPr>
        <w:pStyle w:val="ListBullet"/>
      </w:pPr>
      <w:r>
        <w:t>Learning Economy remains the authority for Learning Point reward/transaction processing.</w:t>
      </w:r>
    </w:p>
    <w:p>
      <w:pPr>
        <w:pStyle w:val="ListBullet"/>
      </w:pPr>
      <w:r>
        <w:t>Completion, Learning Activity completion, Skill/Credential, and Title/Award remain distinct stages.</w:t>
      </w:r>
    </w:p>
    <w:p>
      <w:pPr>
        <w:pStyle w:val="ListBullet"/>
      </w:pPr>
      <w:r>
        <w:t>MADCR-049 is therefore no longer primarily an 'is this term valid?' evidence problem.</w:t>
      </w:r>
    </w:p>
    <w:p>
      <w:pPr>
        <w:pStyle w:val="Heading1"/>
      </w:pPr>
      <w:r>
        <w:t>5. What R1 Does NOT Establish</w:t>
      </w:r>
    </w:p>
    <w:p>
      <w:pPr>
        <w:pStyle w:val="ListBullet"/>
      </w:pPr>
      <w:r>
        <w:t>It does not formally decide whether an M04 Course is itself a Learning Activity instance, or whether Course/Module is a learning content structure that can be completed through an Activity.</w:t>
      </w:r>
    </w:p>
    <w:p>
      <w:pPr>
        <w:pStyle w:val="ListBullet"/>
      </w:pPr>
      <w:r>
        <w:t>It does not lock a new ERD entity, table, foreign key, API endpoint, or physical evidence model for Learning Activity.</w:t>
      </w:r>
    </w:p>
    <w:p>
      <w:pPr>
        <w:pStyle w:val="ListBullet"/>
      </w:pPr>
      <w:r>
        <w:t>It does not determine whether every Course completion creates a Learning Activity Completion.</w:t>
      </w:r>
    </w:p>
    <w:p>
      <w:pPr>
        <w:pStyle w:val="ListBullet"/>
      </w:pPr>
      <w:r>
        <w:t>It does not determine whether a Learning Activity must always be attached to a Course/Module.</w:t>
      </w:r>
    </w:p>
    <w:p>
      <w:pPr>
        <w:pStyle w:val="ListBullet"/>
      </w:pPr>
      <w:r>
        <w:t>It does not close MADCR-049.</w:t>
      </w:r>
    </w:p>
    <w:p>
      <w:pPr>
        <w:pStyle w:val="Heading1"/>
      </w:pPr>
      <w:r>
        <w:t>6. Reframed MADCR-049 Decision Question</w:t>
      </w:r>
    </w:p>
    <w:p>
      <w:r>
        <w:t>Based on recovered evidence, the decision question should now be treated as a semantic boundary question rather than a term-definition recovery question:</w:t>
      </w:r>
    </w:p>
    <w:p>
      <w:r>
        <w:rPr>
          <w:b/>
        </w:rPr>
        <w:t>“What is the canonical semantic relationship between the existing M04 Course/Lesson model and the new Learning Activity concept used by Learning Economy and Learning Session?”</w:t>
      </w:r>
    </w:p>
    <w:p>
      <w:r>
        <w:t>The source corpus supports the existence of Learning Activity and supports Course/module completion as one possible activity category, but does not supply a formal A/B option set for the exact relationship. Therefore no option is invented in this artifact.</w:t>
      </w:r>
    </w:p>
    <w:p>
      <w:pPr>
        <w:pStyle w:val="Heading1"/>
      </w:pPr>
      <w:r>
        <w:t>7. Decision-Readiness Assessment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6"/>
              </w:rPr>
              <w:t>Criterion</w:t>
            </w:r>
          </w:p>
        </w:tc>
        <w:tc>
          <w:tcPr>
            <w:tcW w:type="dxa" w:w="2556"/>
            <w:vAlign w:val="center"/>
            <w:shd w:fill="D9EAF7"/>
          </w:tcPr>
          <w:p>
            <w:r/>
            <w:r>
              <w:rPr>
                <w:b/>
                <w:sz w:val="16"/>
              </w:rPr>
              <w:t>Result</w:t>
            </w:r>
          </w:p>
        </w:tc>
        <w:tc>
          <w:tcPr>
            <w:tcW w:type="dxa" w:w="2556"/>
            <w:vAlign w:val="center"/>
            <w:shd w:fill="D9EAF7"/>
          </w:tcPr>
          <w:p>
            <w:r/>
            <w:r>
              <w:rPr>
                <w:b/>
                <w:sz w:val="16"/>
              </w:rPr>
              <w:t>Reason</w:t>
            </w:r>
          </w:p>
        </w:tc>
        <w:tc>
          <w:tcPr>
            <w:tcW w:type="dxa" w:w="2556"/>
            <w:vAlign w:val="center"/>
            <w:shd w:fill="D9EAF7"/>
          </w:tcPr>
          <w:p>
            <w:r/>
            <w:r>
              <w:rPr>
                <w:b/>
                <w:sz w:val="16"/>
              </w:rPr>
              <w:t>Gate</w:t>
            </w:r>
          </w:p>
        </w:tc>
      </w:tr>
      <w:tr>
        <w:tc>
          <w:tcPr>
            <w:tcW w:type="dxa" w:w="2556"/>
            <w:vAlign w:val="center"/>
          </w:tcPr>
          <w:p>
            <w:r/>
            <w:r>
              <w:rPr>
                <w:b w:val="0"/>
                <w:sz w:val="16"/>
              </w:rPr>
              <w:t>Term validity / definition</w:t>
            </w:r>
          </w:p>
        </w:tc>
        <w:tc>
          <w:tcPr>
            <w:tcW w:type="dxa" w:w="2556"/>
            <w:vAlign w:val="center"/>
          </w:tcPr>
          <w:p>
            <w:r/>
            <w:r>
              <w:rPr>
                <w:b w:val="0"/>
                <w:sz w:val="16"/>
              </w:rPr>
              <w:t>PASS</w:t>
            </w:r>
          </w:p>
        </w:tc>
        <w:tc>
          <w:tcPr>
            <w:tcW w:type="dxa" w:w="2556"/>
            <w:vAlign w:val="center"/>
          </w:tcPr>
          <w:p>
            <w:r/>
            <w:r>
              <w:rPr>
                <w:b w:val="0"/>
                <w:sz w:val="16"/>
              </w:rPr>
              <w:t>Explicitly supported by AEP + BR + downstream artifacts.</w:t>
            </w:r>
          </w:p>
        </w:tc>
        <w:tc>
          <w:tcPr>
            <w:tcW w:type="dxa" w:w="2556"/>
            <w:vAlign w:val="center"/>
          </w:tcPr>
          <w:p>
            <w:r/>
            <w:r>
              <w:rPr>
                <w:b w:val="0"/>
                <w:sz w:val="16"/>
              </w:rPr>
              <w:t>Recovered.</w:t>
            </w:r>
          </w:p>
        </w:tc>
      </w:tr>
      <w:tr>
        <w:tc>
          <w:tcPr>
            <w:tcW w:type="dxa" w:w="2556"/>
            <w:vAlign w:val="center"/>
          </w:tcPr>
          <w:p>
            <w:r/>
            <w:r>
              <w:rPr>
                <w:b w:val="0"/>
                <w:sz w:val="16"/>
              </w:rPr>
              <w:t>Business-rule basis</w:t>
            </w:r>
          </w:p>
        </w:tc>
        <w:tc>
          <w:tcPr>
            <w:tcW w:type="dxa" w:w="2556"/>
            <w:vAlign w:val="center"/>
          </w:tcPr>
          <w:p>
            <w:r/>
            <w:r>
              <w:rPr>
                <w:b w:val="0"/>
                <w:sz w:val="16"/>
              </w:rPr>
              <w:t>PASS</w:t>
            </w:r>
          </w:p>
        </w:tc>
        <w:tc>
          <w:tcPr>
            <w:tcW w:type="dxa" w:w="2556"/>
            <w:vAlign w:val="center"/>
          </w:tcPr>
          <w:p>
            <w:r/>
            <w:r>
              <w:rPr>
                <w:b w:val="0"/>
                <w:sz w:val="16"/>
              </w:rPr>
              <w:t>LE-011–014 and related rules provide direct normative basis.</w:t>
            </w:r>
          </w:p>
        </w:tc>
        <w:tc>
          <w:tcPr>
            <w:tcW w:type="dxa" w:w="2556"/>
            <w:vAlign w:val="center"/>
          </w:tcPr>
          <w:p>
            <w:r/>
            <w:r>
              <w:rPr>
                <w:b w:val="0"/>
                <w:sz w:val="16"/>
              </w:rPr>
              <w:t>Recovered.</w:t>
            </w:r>
          </w:p>
        </w:tc>
      </w:tr>
      <w:tr>
        <w:tc>
          <w:tcPr>
            <w:tcW w:type="dxa" w:w="2556"/>
            <w:vAlign w:val="center"/>
          </w:tcPr>
          <w:p>
            <w:r/>
            <w:r>
              <w:rPr>
                <w:b w:val="0"/>
                <w:sz w:val="16"/>
              </w:rPr>
              <w:t>Cross-domain role</w:t>
            </w:r>
          </w:p>
        </w:tc>
        <w:tc>
          <w:tcPr>
            <w:tcW w:type="dxa" w:w="2556"/>
            <w:vAlign w:val="center"/>
          </w:tcPr>
          <w:p>
            <w:r/>
            <w:r>
              <w:rPr>
                <w:b w:val="0"/>
                <w:sz w:val="16"/>
              </w:rPr>
              <w:t>PASS</w:t>
            </w:r>
          </w:p>
        </w:tc>
        <w:tc>
          <w:tcPr>
            <w:tcW w:type="dxa" w:w="2556"/>
            <w:vAlign w:val="center"/>
          </w:tcPr>
          <w:p>
            <w:r/>
            <w:r>
              <w:rPr>
                <w:b w:val="0"/>
                <w:sz w:val="16"/>
              </w:rPr>
              <w:t>LS-033–036 define Session→Activity→Learning Economy boundary.</w:t>
            </w:r>
          </w:p>
        </w:tc>
        <w:tc>
          <w:tcPr>
            <w:tcW w:type="dxa" w:w="2556"/>
            <w:vAlign w:val="center"/>
          </w:tcPr>
          <w:p>
            <w:r/>
            <w:r>
              <w:rPr>
                <w:b w:val="0"/>
                <w:sz w:val="16"/>
              </w:rPr>
              <w:t>Recovered.</w:t>
            </w:r>
          </w:p>
        </w:tc>
      </w:tr>
      <w:tr>
        <w:tc>
          <w:tcPr>
            <w:tcW w:type="dxa" w:w="2556"/>
            <w:vAlign w:val="center"/>
          </w:tcPr>
          <w:p>
            <w:r/>
            <w:r>
              <w:rPr>
                <w:b w:val="0"/>
                <w:sz w:val="16"/>
              </w:rPr>
              <w:t>Exact Course-vs-Activity relationship</w:t>
            </w:r>
          </w:p>
        </w:tc>
        <w:tc>
          <w:tcPr>
            <w:tcW w:type="dxa" w:w="2556"/>
            <w:vAlign w:val="center"/>
          </w:tcPr>
          <w:p>
            <w:r/>
            <w:r>
              <w:rPr>
                <w:b w:val="0"/>
                <w:sz w:val="16"/>
              </w:rPr>
              <w:t>OPEN</w:t>
            </w:r>
          </w:p>
        </w:tc>
        <w:tc>
          <w:tcPr>
            <w:tcW w:type="dxa" w:w="2556"/>
            <w:vAlign w:val="center"/>
          </w:tcPr>
          <w:p>
            <w:r/>
            <w:r>
              <w:rPr>
                <w:b w:val="0"/>
                <w:sz w:val="16"/>
              </w:rPr>
              <w:t>No authoritative source gives the final semantic cardinality/relationship.</w:t>
            </w:r>
          </w:p>
        </w:tc>
        <w:tc>
          <w:tcPr>
            <w:tcW w:type="dxa" w:w="2556"/>
            <w:vAlign w:val="center"/>
          </w:tcPr>
          <w:p>
            <w:r/>
            <w:r>
              <w:rPr>
                <w:b w:val="0"/>
                <w:sz w:val="16"/>
              </w:rPr>
              <w:t>Requires governance decision.</w:t>
            </w:r>
          </w:p>
        </w:tc>
      </w:tr>
      <w:tr>
        <w:tc>
          <w:tcPr>
            <w:tcW w:type="dxa" w:w="2556"/>
            <w:vAlign w:val="center"/>
          </w:tcPr>
          <w:p>
            <w:r/>
            <w:r>
              <w:rPr>
                <w:b w:val="0"/>
                <w:sz w:val="16"/>
              </w:rPr>
              <w:t>Physical design</w:t>
            </w:r>
          </w:p>
        </w:tc>
        <w:tc>
          <w:tcPr>
            <w:tcW w:type="dxa" w:w="2556"/>
            <w:vAlign w:val="center"/>
          </w:tcPr>
          <w:p>
            <w:r/>
            <w:r>
              <w:rPr>
                <w:b w:val="0"/>
                <w:sz w:val="16"/>
              </w:rPr>
              <w:t>HOLD</w:t>
            </w:r>
          </w:p>
        </w:tc>
        <w:tc>
          <w:tcPr>
            <w:tcW w:type="dxa" w:w="2556"/>
            <w:vAlign w:val="center"/>
          </w:tcPr>
          <w:p>
            <w:r/>
            <w:r>
              <w:rPr>
                <w:b w:val="0"/>
                <w:sz w:val="16"/>
              </w:rPr>
              <w:t>Must wait for the semantic boundary and evidence model.</w:t>
            </w:r>
          </w:p>
        </w:tc>
        <w:tc>
          <w:tcPr>
            <w:tcW w:type="dxa" w:w="2556"/>
            <w:vAlign w:val="center"/>
          </w:tcPr>
          <w:p>
            <w:r/>
            <w:r>
              <w:rPr>
                <w:b w:val="0"/>
                <w:sz w:val="16"/>
              </w:rPr>
              <w:t>Not authorized.</w:t>
            </w:r>
          </w:p>
        </w:tc>
      </w:tr>
      <w:tr>
        <w:tc>
          <w:tcPr>
            <w:tcW w:type="dxa" w:w="2556"/>
            <w:vAlign w:val="center"/>
          </w:tcPr>
          <w:p>
            <w:r/>
            <w:r>
              <w:rPr>
                <w:b w:val="0"/>
                <w:sz w:val="16"/>
              </w:rPr>
              <w:t>MADCR-049 closure</w:t>
            </w:r>
          </w:p>
        </w:tc>
        <w:tc>
          <w:tcPr>
            <w:tcW w:type="dxa" w:w="2556"/>
            <w:vAlign w:val="center"/>
          </w:tcPr>
          <w:p>
            <w:r/>
            <w:r>
              <w:rPr>
                <w:b w:val="0"/>
                <w:sz w:val="16"/>
              </w:rPr>
              <w:t>OPEN / RE-EVALUATION</w:t>
            </w:r>
          </w:p>
        </w:tc>
        <w:tc>
          <w:tcPr>
            <w:tcW w:type="dxa" w:w="2556"/>
            <w:vAlign w:val="center"/>
          </w:tcPr>
          <w:p>
            <w:r/>
            <w:r>
              <w:rPr>
                <w:b w:val="0"/>
                <w:sz w:val="16"/>
              </w:rPr>
              <w:t>Evidence gap reduced, but decision itself remains unresolved.</w:t>
            </w:r>
          </w:p>
        </w:tc>
        <w:tc>
          <w:tcPr>
            <w:tcW w:type="dxa" w:w="2556"/>
            <w:vAlign w:val="center"/>
          </w:tcPr>
          <w:p>
            <w:r/>
            <w:r>
              <w:rPr>
                <w:b w:val="0"/>
                <w:sz w:val="16"/>
              </w:rPr>
              <w:t>Not closed.</w:t>
            </w:r>
          </w:p>
        </w:tc>
      </w:tr>
    </w:tbl>
    <w:p>
      <w:pPr>
        <w:pStyle w:val="Heading1"/>
      </w:pPr>
      <w:r>
        <w:t>8. Open Decision Raised</w:t>
      </w:r>
    </w:p>
    <w:p>
      <w:r>
        <w:rPr>
          <w:b/>
        </w:rPr>
        <w:t>OPEN DECISION REQUIRED: MADCR-049 semantic boundary confirmation.</w:t>
      </w:r>
    </w:p>
    <w:p>
      <w:r>
        <w:t>Saya merekomendasikan keputusan berikutnya dibatasi hanya pada hubungan Course/Lesson ↔ Learning Activity. Tidak perlu membuka ulang Learning Economy, Learning Session, LP authority, atau AEP1/AEP3/AEP4 decisions.</w:t>
      </w:r>
    </w:p>
    <w:p>
      <w:pPr>
        <w:pStyle w:val="ListBullet"/>
      </w:pPr>
      <w:r>
        <w:t>Decision scope:</w:t>
      </w:r>
    </w:p>
    <w:p>
      <w:pPr>
        <w:pStyle w:val="ListBullet2"/>
      </w:pPr>
      <w:r>
        <w:t>Apakah Course/Module Completion merupakan salah satu bentuk Learning Activity Completion?</w:t>
      </w:r>
    </w:p>
    <w:p>
      <w:pPr>
        <w:pStyle w:val="ListBullet2"/>
      </w:pPr>
      <w:r>
        <w:t>Apakah Learning Activity merupakan abstraction/record yang dapat mereferensikan Course/Module, Practice, Assignment, Mission, atau sumber lain?</w:t>
      </w:r>
    </w:p>
    <w:p>
      <w:pPr>
        <w:pStyle w:val="ListBullet2"/>
      </w:pPr>
      <w:r>
        <w:t>Apakah existing M04 Course/Lesson tetap menjadi content structure dan tidak digantikan oleh Learning Activity?</w:t>
      </w:r>
    </w:p>
    <w:p>
      <w:pPr>
        <w:pStyle w:val="ListBullet2"/>
      </w:pPr>
      <w:r>
        <w:t>Apa minimum semantic relationship yang wajib dipertahankan sebelum ERD/API physical design?</w:t>
      </w:r>
    </w:p>
    <w:p>
      <w:r>
        <w:t>Saya tidak mengusulkan jawaban A/B sebagai keputusan terselubung karena source corpus tidak menyediakan formal options. Keputusan user/ARB diperlukan hanya untuk canonical relationship tersebut.</w:t>
      </w:r>
    </w:p>
    <w:p>
      <w:pPr>
        <w:pStyle w:val="Heading1"/>
      </w:pPr>
      <w:r>
        <w:t>9. Recommended Next Step After Decision</w:t>
      </w:r>
    </w:p>
    <w:p>
      <w:pPr>
        <w:pStyle w:val="ListNumber"/>
      </w:pPr>
      <w:r>
        <w:t>If the relationship is confirmed, formalize MADCR-049 as a decision-ready governance artifact.</w:t>
      </w:r>
    </w:p>
    <w:p>
      <w:pPr>
        <w:pStyle w:val="ListNumber"/>
      </w:pPr>
      <w:r>
        <w:t>Translate the confirmed boundary into ERD/API/RBAC/User Flow impact only at controlled downstream design.</w:t>
      </w:r>
    </w:p>
    <w:p>
      <w:pPr>
        <w:pStyle w:val="ListNumber"/>
      </w:pPr>
      <w:r>
        <w:t>Preserve M04 Course Enrollment and Learning Session Enrollment as distinct concepts unless a later governed decision explicitly changes them.</w:t>
      </w:r>
    </w:p>
    <w:p>
      <w:pPr>
        <w:pStyle w:val="ListNumber"/>
      </w:pPr>
      <w:r>
        <w:t>Keep final Learning Activity evidence storage and physical cardinality behind the implementation gate.</w:t>
      </w:r>
    </w:p>
    <w:p>
      <w:pPr>
        <w:pStyle w:val="ListNumber"/>
      </w:pPr>
      <w:r>
        <w:t>Update residual register and D6 handoff only after formal decision status changes.</w:t>
      </w:r>
    </w:p>
    <w:p>
      <w:pPr>
        <w:pStyle w:val="Heading1"/>
      </w:pPr>
      <w:r>
        <w:t>10. Current Gate</w:t>
      </w:r>
    </w:p>
    <w:p>
      <w:r>
        <w:rPr>
          <w:b/>
        </w:rPr>
        <w:t>R1 RESULT: EVIDENCE RECOVERY PASS — MADCR-049 REMAINS OPEN / DECISION-READY.</w:t>
      </w:r>
    </w:p>
    <w:p>
      <w:r>
        <w:t>R1 berhasil menemukan evidence yang sebelumnya dinyatakan hilang. Ini materially changes the evidence state, but it does not authorize us to infer the final Course-vs-Learning-Activity relationship. The correct next gate is a focused semantic decision, not another broad evidence retrieval pass.</w:t>
      </w:r>
    </w:p>
    <w:p>
      <w:pPr>
        <w:pStyle w:val="Heading1"/>
      </w:pPr>
      <w:r>
        <w:t>11. No Implementation Authorization</w:t>
      </w:r>
    </w:p>
    <w:p>
      <w:r>
        <w:t>Tidak ada ERD/schema/API/RBAC/migration yang diubah oleh R1. Semua physical implementation tetap mengikuti P3 HOLD dan harus menunggu keputusan/gate yang relevan.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