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RUMAHAGEN</w:t>
        <w:br/>
        <w:t>R2 — MADCR-053 / MADCR-054 GOVERNANCE READINESS ASSESSMENT</w:t>
      </w:r>
    </w:p>
    <w:p>
      <w:pPr>
        <w:jc w:val="center"/>
      </w:pPr>
      <w:r>
        <w:rPr>
          <w:b/>
        </w:rPr>
        <w:t>Version 1.0 | 16 August 2026 | Evidence / Readiness Gate — No Approval Claimed</w:t>
      </w:r>
    </w:p>
    <w:p>
      <w:pPr>
        <w:pStyle w:val="Heading1"/>
      </w:pPr>
      <w:r>
        <w:t>1. Purpose</w:t>
      </w:r>
    </w:p>
    <w:p>
      <w:r>
        <w:t>R2 memverifikasi apakah MADCR-053 (cross-domain permission taxonomy) dan MADCR-054 (Learning Session host/instructor authorization) sudah memiliki evidence dan governance readiness untuk formal decision. R2 tidak membuat permission IDs dan tidak menganggap AEP4 conceptual permissions sebagai final authorization taxonomy.</w:t>
      </w:r>
    </w:p>
    <w:p>
      <w:pPr>
        <w:pStyle w:val="Heading1"/>
      </w:pPr>
      <w:r>
        <w:t>2. Current Source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 Status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Dependency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Current Gate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MADCR-053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Category-A; Batch 4; planned/not yet verified in master matrix; readiness matrix says shell draftable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MADCR-010, MADCR-011, MADCR-036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APPROVED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MADCR-054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Category-A; blocked by MADCR-053; Learning Session host/instructor authorization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MADCR-053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DRAFTABLE AS INDEPENDENT DECISION</w:t>
            </w:r>
          </w:p>
        </w:tc>
      </w:tr>
    </w:tbl>
    <w:p>
      <w:r>
        <w:t>Penting: terdapat dua source framings yang harus dibedakan. ADR-BATCH-READINESS-MATRIX menyebut MADCR-053 DRAFTABLE (shell), sedangkan corrected AEP4 current-state artifact menyebut MADCR-053 OPEN/BLOCKED and MADCR-054 OPEN/BLOCKED. Karena corrected current-state artifact adalah later evidence, kita tidak boleh menggunakan planning matrix untuk menyatakan approval. Shell-draftability juga bukan approval.</w:t>
      </w:r>
    </w:p>
    <w:p>
      <w:pPr>
        <w:pStyle w:val="Heading1"/>
      </w:pPr>
      <w:r>
        <w:t>3. Recovered Governing Invariants</w:t>
      </w:r>
    </w:p>
    <w:p>
      <w:pPr>
        <w:pStyle w:val="ListBullet"/>
      </w:pPr>
      <w:r>
        <w:t>RBAC is the first authorization layer; RLS remains the second scope/data layer.</w:t>
      </w:r>
    </w:p>
    <w:p>
      <w:pPr>
        <w:pStyle w:val="ListBullet"/>
      </w:pPr>
      <w:r>
        <w:t>Authentication → eligibility → authorization → provider access.</w:t>
      </w:r>
    </w:p>
    <w:p>
      <w:pPr>
        <w:pStyle w:val="ListBullet"/>
      </w:pPr>
      <w:r>
        <w:t>Instructor role does not automatically imply Host authority.</w:t>
      </w:r>
    </w:p>
    <w:p>
      <w:pPr>
        <w:pStyle w:val="ListBullet"/>
      </w:pPr>
      <w:r>
        <w:t>Completion authority must not imply Awarding authority.</w:t>
      </w:r>
    </w:p>
    <w:p>
      <w:pPr>
        <w:pStyle w:val="ListBullet"/>
      </w:pPr>
      <w:r>
        <w:t>Provider binding authority must be explicitly governed; provider credentials are infrastructure-controlled.</w:t>
      </w:r>
    </w:p>
    <w:p>
      <w:pPr>
        <w:pStyle w:val="ListBullet"/>
      </w:pPr>
      <w:r>
        <w:t>Historical evidence/outcomes must not be writable through generic profile/configuration permissions.</w:t>
      </w:r>
    </w:p>
    <w:p>
      <w:pPr>
        <w:pStyle w:val="ListBullet"/>
      </w:pPr>
      <w:r>
        <w:t>Exact permission IDs must be reconciled against the actual current permission catalogue before implementation.</w:t>
      </w:r>
    </w:p>
    <w:p>
      <w:pPr>
        <w:pStyle w:val="ListBullet"/>
      </w:pPr>
      <w:r>
        <w:t>Session-specific organization scope must be evaluated as domain-specific authorization; it must not be inferred from client-supplied scope values.</w:t>
      </w:r>
    </w:p>
    <w:p>
      <w:pPr>
        <w:pStyle w:val="Heading1"/>
      </w:pPr>
      <w:r>
        <w:t>4. What MADCR-053 Must Solve</w:t>
      </w:r>
    </w:p>
    <w:p>
      <w:pPr>
        <w:pStyle w:val="ListBullet"/>
      </w:pPr>
      <w:r>
        <w:t>A canonical cross-domain permission taxonomy that can be consumed by Commercial, Learning Economy, Learning Session, Awarding, and other domains without each AEP inventing incompatible permission families.</w:t>
      </w:r>
    </w:p>
    <w:p>
      <w:pPr>
        <w:pStyle w:val="ListBullet"/>
      </w:pPr>
      <w:r>
        <w:t>Relationship between capability/permission and scope/authority without collapsing RBAC with Commercial Entitlement, qualification, or Awarding Authority.</w:t>
      </w:r>
    </w:p>
    <w:p>
      <w:pPr>
        <w:pStyle w:val="ListBullet"/>
      </w:pPr>
      <w:r>
        <w:t>Compatibility with existing M01–M13 permission catalogue and the future cross-domain capabilities.</w:t>
      </w:r>
    </w:p>
    <w:p>
      <w:pPr>
        <w:pStyle w:val="ListBullet"/>
      </w:pPr>
      <w:r>
        <w:t>Rules for ownership, organization scope, role capability, and privileged operations at semantic level.</w:t>
      </w:r>
    </w:p>
    <w:p>
      <w:pPr>
        <w:pStyle w:val="ListBullet"/>
      </w:pPr>
      <w:r>
        <w:t>A reusable foundation for MADCR-048, MADCR-054, MADCR-055, MADCR-056 and MADCR-057, which the readiness matrix identifies as downstream.</w:t>
      </w:r>
    </w:p>
    <w:p>
      <w:pPr>
        <w:pStyle w:val="Heading1"/>
      </w:pPr>
      <w:r>
        <w:t>5. What MADCR-054 Must Solve</w:t>
      </w:r>
    </w:p>
    <w:p>
      <w:pPr>
        <w:pStyle w:val="ListBullet"/>
      </w:pPr>
      <w:r>
        <w:t>Who can create/manage Learning Sessions.</w:t>
      </w:r>
    </w:p>
    <w:p>
      <w:pPr>
        <w:pStyle w:val="ListBullet"/>
      </w:pPr>
      <w:r>
        <w:t>Whether Instructor has default Host authority — source says this must NOT be inferred.</w:t>
      </w:r>
    </w:p>
    <w:p>
      <w:pPr>
        <w:pStyle w:val="ListBullet"/>
      </w:pPr>
      <w:r>
        <w:t>Who can bind/switch providers.</w:t>
      </w:r>
    </w:p>
    <w:p>
      <w:pPr>
        <w:pStyle w:val="ListBullet"/>
      </w:pPr>
      <w:r>
        <w:t>Who can manage provider-facing session operations.</w:t>
      </w:r>
    </w:p>
    <w:p>
      <w:pPr>
        <w:pStyle w:val="ListBullet"/>
      </w:pPr>
      <w:r>
        <w:t>How Host and Instructor capabilities interact with organization scope and ownership.</w:t>
      </w:r>
    </w:p>
    <w:p>
      <w:pPr>
        <w:pStyle w:val="ListBullet"/>
      </w:pPr>
      <w:r>
        <w:t>How authorization is audited without exposing provider credentials.</w:t>
      </w:r>
    </w:p>
    <w:p>
      <w:pPr>
        <w:pStyle w:val="Heading1"/>
      </w:pPr>
      <w:r>
        <w:t>6. Readiness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053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054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Business/architecture question identifiable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AEP4 RBAC impact + readiness matrix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Ready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Dependencies known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053 depends on 010/011/036; 054 depends on 053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Ready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Existing semantic invariants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AEP4 corrected current-state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Ready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Final permission catalogue reconciliation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Exact current IDs must be reconciled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Not implementation-ready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Formal approval evidence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NOT FOUND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NOT FOUND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 ARB approval located in current search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Not approved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Independent 054 decision readiness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054 is explicitly downstream of 053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Must wait</w:t>
            </w:r>
          </w:p>
        </w:tc>
      </w:tr>
    </w:tbl>
    <w:p>
      <w:pPr>
        <w:pStyle w:val="Heading1"/>
      </w:pPr>
      <w:r>
        <w:t>7. R2 Gate Result</w:t>
      </w:r>
    </w:p>
    <w:p>
      <w:r>
        <w:rPr>
          <w:b/>
        </w:rPr>
        <w:t>R2 = EVIDENCE / READINESS PASS, FORMAL APPROVAL NOT YET READY.</w:t>
      </w:r>
    </w:p>
    <w:p>
      <w:r>
        <w:t>MADCR-053 is sufficiently bounded to become the next governance drafting target, but no source located in this pass provides a formal approval. MADCR-054 cannot be independently decided before the 053 taxonomy exists. Therefore we must not ask the user to approve 054 yet.</w:t>
      </w:r>
    </w:p>
    <w:p>
      <w:pPr>
        <w:pStyle w:val="Heading1"/>
      </w:pPr>
      <w:r>
        <w:t>8. No New User Open Decision Yet</w:t>
      </w:r>
    </w:p>
    <w:p>
      <w:r>
        <w:t>Tidak ada pertanyaan yang perlu dijawab user pada R2. Langkah berikutnya yang benar adalah menyusun MADCR-053 decision-ready shell/question set from the source, then present the bounded decision set to the user. Only after MADCR-053 is approved can MADCR-054 be formalized.</w:t>
      </w:r>
    </w:p>
    <w:p>
      <w:pPr>
        <w:pStyle w:val="Heading1"/>
      </w:pPr>
      <w:r>
        <w:t>9. Next Lead Action — MADCR-053 Decision Brief</w:t>
      </w:r>
    </w:p>
    <w:p>
      <w:pPr>
        <w:pStyle w:val="ListNumber"/>
      </w:pPr>
      <w:r>
        <w:t>Reconcile the current M01–M13 permission catalogue with the cross-domain capabilities evidenced by Commercial, Learning, Session and Awarding.</w:t>
      </w:r>
    </w:p>
    <w:p>
      <w:pPr>
        <w:pStyle w:val="ListNumber"/>
      </w:pPr>
      <w:r>
        <w:t>Define semantic taxonomy candidates without creating implementation IDs.</w:t>
      </w:r>
    </w:p>
    <w:p>
      <w:pPr>
        <w:pStyle w:val="ListNumber"/>
      </w:pPr>
      <w:r>
        <w:t>Preserve RBAC ≠ Entitlement and RBAC ≠ Qualification/Awarding Authority boundaries.</w:t>
      </w:r>
    </w:p>
    <w:p>
      <w:pPr>
        <w:pStyle w:val="ListNumber"/>
      </w:pPr>
      <w:r>
        <w:t>Define scope dimensions at semantic level: own/resource, organization, role/capability, privileged administration, and system-level operations where evidenced.</w:t>
      </w:r>
    </w:p>
    <w:p>
      <w:pPr>
        <w:pStyle w:val="ListNumber"/>
      </w:pPr>
      <w:r>
        <w:t>Prepare explicit questions for user approval; do not infer default Host/Instructor authority.</w:t>
      </w:r>
    </w:p>
    <w:p>
      <w:pPr>
        <w:pStyle w:val="ListNumber"/>
      </w:pPr>
      <w:r>
        <w:t>After user approval of MADCR-053, formalize it and only then open MADCR-054.</w:t>
      </w:r>
    </w:p>
    <w:p>
      <w:pPr>
        <w:pStyle w:val="Heading1"/>
      </w:pPr>
      <w:r>
        <w:t>10. Implementation Hold</w:t>
      </w:r>
    </w:p>
    <w:p>
      <w:pPr>
        <w:pStyle w:val="ListBullet"/>
      </w:pPr>
      <w:r>
        <w:t>No final permission IDs.</w:t>
      </w:r>
    </w:p>
    <w:p>
      <w:pPr>
        <w:pStyle w:val="ListBullet"/>
      </w:pPr>
      <w:r>
        <w:t>No RBAC migration.</w:t>
      </w:r>
    </w:p>
    <w:p>
      <w:pPr>
        <w:pStyle w:val="ListBullet"/>
      </w:pPr>
      <w:r>
        <w:t>No RLS implementation changes.</w:t>
      </w:r>
    </w:p>
    <w:p>
      <w:pPr>
        <w:pStyle w:val="ListBullet"/>
      </w:pPr>
      <w:r>
        <w:t>No Instructor→Host assumption.</w:t>
      </w:r>
    </w:p>
    <w:p>
      <w:pPr>
        <w:pStyle w:val="ListBullet"/>
      </w:pPr>
      <w:r>
        <w:t>No provider binding authorization implementation.</w:t>
      </w:r>
    </w:p>
    <w:p>
      <w:pPr>
        <w:pStyle w:val="ListBullet"/>
      </w:pPr>
      <w:r>
        <w:t>No downstream MADCR-054 approval inferred from AEP4.</w:t>
      </w:r>
    </w:p>
    <w:p>
      <w:pPr>
        <w:pStyle w:val="Heading1"/>
      </w:pPr>
      <w:r>
        <w:t>11. Source Notes</w:t>
      </w:r>
    </w:p>
    <w:p>
      <w:r>
        <w:t>The readiness matrix is treated as planning/sequencing evidence, not approval authority. Later corrected AEP4 current-state evidence is used to preserve the explicit OPEN/BLOCKED status. This follows the project rule that ADR/MAEDR/MADCR approval records govern actual decision status, while the batch matrix is an active planning map.</w:t>
      </w:r>
    </w:p>
    <w:p>
      <w:pPr>
        <w:pStyle w:val="Heading1"/>
      </w:pPr>
      <w:r>
        <w:t>12. Continuity Statement</w:t>
      </w:r>
    </w:p>
    <w:p>
      <w:r>
        <w:t>R2 establishes the next governance work item without changing any approved decision. MADCR-049 is now governed by the user's Option A decision and is not reopened. The next controlled governance artifact is the MADCR-053 Decision Brief.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