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RUMAHAGEN</w:t>
        <w:br/>
        <w:t>R4 — AEP3 OD-02…05 PHYSICAL-READINESS ASSESSMENT</w:t>
      </w:r>
    </w:p>
    <w:p>
      <w:pPr>
        <w:jc w:val="center"/>
      </w:pPr>
      <w:r>
        <w:rPr>
          <w:b/>
        </w:rPr>
        <w:t>Version 1.0 | 16 August 2026 | Controlled Physical-Design Readiness — No Physical Lock</w:t>
      </w:r>
    </w:p>
    <w:p>
      <w:pPr>
        <w:pStyle w:val="Heading1"/>
      </w:pPr>
      <w:r>
        <w:t>1. Purpose</w:t>
      </w:r>
    </w:p>
    <w:p>
      <w:r>
        <w:t>R4 menilai apakah AEP3-OD-02, OD-03, OD-04 dan OD-05 sekarang perlu diputuskan sebagai governance decisions atau dapat tetap sebagai controlled downstream engineering dependencies. Assessment ini mengikuti source AEP3 yang secara eksplisit menyatakan keempat item tidak memblok semantic architecture, tetapi membatasi physical design.</w:t>
      </w:r>
    </w:p>
    <w:p>
      <w:pPr>
        <w:pStyle w:val="Heading1"/>
      </w:pPr>
      <w:r>
        <w:t>2. Source Position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OD</w:t>
            </w:r>
          </w:p>
        </w:tc>
        <w:tc>
          <w:tcPr>
            <w:tcW w:type="dxa" w:w="2045"/>
            <w:vAlign w:val="center"/>
            <w:shd w:fill="D9EAF7"/>
          </w:tcPr>
          <w:p>
            <w:r/>
            <w:r>
              <w:rPr>
                <w:b/>
                <w:sz w:val="16"/>
              </w:rPr>
              <w:t>Domain</w:t>
            </w:r>
          </w:p>
        </w:tc>
        <w:tc>
          <w:tcPr>
            <w:tcW w:type="dxa" w:w="2045"/>
            <w:vAlign w:val="center"/>
            <w:shd w:fill="D9EAF7"/>
          </w:tcPr>
          <w:p>
            <w:r/>
            <w:r>
              <w:rPr>
                <w:b/>
                <w:sz w:val="16"/>
              </w:rPr>
              <w:t>Current Status</w:t>
            </w:r>
          </w:p>
        </w:tc>
        <w:tc>
          <w:tcPr>
            <w:tcW w:type="dxa" w:w="2045"/>
            <w:vAlign w:val="center"/>
            <w:shd w:fill="D9EAF7"/>
          </w:tcPr>
          <w:p>
            <w:r/>
            <w:r>
              <w:rPr>
                <w:b/>
                <w:sz w:val="16"/>
              </w:rPr>
              <w:t>Source Treatment</w:t>
            </w:r>
          </w:p>
        </w:tc>
        <w:tc>
          <w:tcPr>
            <w:tcW w:type="dxa" w:w="2045"/>
            <w:vAlign w:val="center"/>
            <w:shd w:fill="D9EAF7"/>
          </w:tcPr>
          <w:p>
            <w:r/>
            <w:r>
              <w:rPr>
                <w:b/>
                <w:sz w:val="16"/>
              </w:rPr>
              <w:t>R4 Result</w:t>
            </w:r>
          </w:p>
        </w:tc>
      </w:tr>
      <w:tr>
        <w:tc>
          <w:tcPr>
            <w:tcW w:type="dxa" w:w="2045"/>
            <w:vAlign w:val="center"/>
          </w:tcPr>
          <w:p>
            <w:r/>
            <w:r>
              <w:rPr>
                <w:b w:val="0"/>
                <w:sz w:val="16"/>
              </w:rPr>
              <w:t>AEP3-OD-02</w:t>
            </w:r>
          </w:p>
        </w:tc>
        <w:tc>
          <w:tcPr>
            <w:tcW w:type="dxa" w:w="2045"/>
            <w:vAlign w:val="center"/>
          </w:tcPr>
          <w:p>
            <w:r/>
            <w:r>
              <w:rPr>
                <w:b w:val="0"/>
                <w:sz w:val="16"/>
              </w:rPr>
              <w:t>Authority / Scope cardinality</w:t>
            </w:r>
          </w:p>
        </w:tc>
        <w:tc>
          <w:tcPr>
            <w:tcW w:type="dxa" w:w="2045"/>
            <w:vAlign w:val="center"/>
          </w:tcPr>
          <w:p>
            <w:r/>
            <w:r>
              <w:rPr>
                <w:b w:val="0"/>
                <w:sz w:val="16"/>
              </w:rPr>
              <w:t>OPEN / CONTROLLED</w:t>
            </w:r>
          </w:p>
        </w:tc>
        <w:tc>
          <w:tcPr>
            <w:tcW w:type="dxa" w:w="2045"/>
            <w:vAlign w:val="center"/>
          </w:tcPr>
          <w:p>
            <w:r/>
            <w:r>
              <w:rPr>
                <w:b w:val="0"/>
                <w:sz w:val="16"/>
              </w:rPr>
              <w:t>Resolve when authority/RLS physical schema is required; do not invent cardinality.</w:t>
            </w:r>
          </w:p>
        </w:tc>
        <w:tc>
          <w:tcPr>
            <w:tcW w:type="dxa" w:w="2045"/>
            <w:vAlign w:val="center"/>
          </w:tcPr>
          <w:p>
            <w:r/>
            <w:r>
              <w:rPr>
                <w:b w:val="0"/>
                <w:sz w:val="16"/>
              </w:rPr>
              <w:t>PHYSICAL DESIGN BLOCKER — but not a new governance decision now.</w:t>
            </w:r>
          </w:p>
        </w:tc>
      </w:tr>
      <w:tr>
        <w:tc>
          <w:tcPr>
            <w:tcW w:type="dxa" w:w="2045"/>
            <w:vAlign w:val="center"/>
          </w:tcPr>
          <w:p>
            <w:r/>
            <w:r>
              <w:rPr>
                <w:b w:val="0"/>
                <w:sz w:val="16"/>
              </w:rPr>
              <w:t>AEP3-OD-03</w:t>
            </w:r>
          </w:p>
        </w:tc>
        <w:tc>
          <w:tcPr>
            <w:tcW w:type="dxa" w:w="2045"/>
            <w:vAlign w:val="center"/>
          </w:tcPr>
          <w:p>
            <w:r/>
            <w:r>
              <w:rPr>
                <w:b w:val="0"/>
                <w:sz w:val="16"/>
              </w:rPr>
              <w:t>Lifecycle / Appeal storage</w:t>
            </w:r>
          </w:p>
        </w:tc>
        <w:tc>
          <w:tcPr>
            <w:tcW w:type="dxa" w:w="2045"/>
            <w:vAlign w:val="center"/>
          </w:tcPr>
          <w:p>
            <w:r/>
            <w:r>
              <w:rPr>
                <w:b w:val="0"/>
                <w:sz w:val="16"/>
              </w:rPr>
              <w:t>OPEN / CONTROLLED</w:t>
            </w:r>
          </w:p>
        </w:tc>
        <w:tc>
          <w:tcPr>
            <w:tcW w:type="dxa" w:w="2045"/>
            <w:vAlign w:val="center"/>
          </w:tcPr>
          <w:p>
            <w:r/>
            <w:r>
              <w:rPr>
                <w:b w:val="0"/>
                <w:sz w:val="16"/>
              </w:rPr>
              <w:t>Engineering implementation choice; historical integrity mandatory regardless of storage pattern.</w:t>
            </w:r>
          </w:p>
        </w:tc>
        <w:tc>
          <w:tcPr>
            <w:tcW w:type="dxa" w:w="2045"/>
            <w:vAlign w:val="center"/>
          </w:tcPr>
          <w:p>
            <w:r/>
            <w:r>
              <w:rPr>
                <w:b w:val="0"/>
                <w:sz w:val="16"/>
              </w:rPr>
              <w:t>DOWNSTREAM ENGINEERING DECISION.</w:t>
            </w:r>
          </w:p>
        </w:tc>
      </w:tr>
      <w:tr>
        <w:tc>
          <w:tcPr>
            <w:tcW w:type="dxa" w:w="2045"/>
            <w:vAlign w:val="center"/>
          </w:tcPr>
          <w:p>
            <w:r/>
            <w:r>
              <w:rPr>
                <w:b w:val="0"/>
                <w:sz w:val="16"/>
              </w:rPr>
              <w:t>AEP3-OD-04</w:t>
            </w:r>
          </w:p>
        </w:tc>
        <w:tc>
          <w:tcPr>
            <w:tcW w:type="dxa" w:w="2045"/>
            <w:vAlign w:val="center"/>
          </w:tcPr>
          <w:p>
            <w:r/>
            <w:r>
              <w:rPr>
                <w:b w:val="0"/>
                <w:sz w:val="16"/>
              </w:rPr>
              <w:t>Rule lineage cardinality</w:t>
            </w:r>
          </w:p>
        </w:tc>
        <w:tc>
          <w:tcPr>
            <w:tcW w:type="dxa" w:w="2045"/>
            <w:vAlign w:val="center"/>
          </w:tcPr>
          <w:p>
            <w:r/>
            <w:r>
              <w:rPr>
                <w:b w:val="0"/>
                <w:sz w:val="16"/>
              </w:rPr>
              <w:t>OPEN / CONTROLLED</w:t>
            </w:r>
          </w:p>
        </w:tc>
        <w:tc>
          <w:tcPr>
            <w:tcW w:type="dxa" w:w="2045"/>
            <w:vAlign w:val="center"/>
          </w:tcPr>
          <w:p>
            <w:r/>
            <w:r>
              <w:rPr>
                <w:b w:val="0"/>
                <w:sz w:val="16"/>
              </w:rPr>
              <w:t>Preserve provenance; defer unsupported FK/cardinality.</w:t>
            </w:r>
          </w:p>
        </w:tc>
        <w:tc>
          <w:tcPr>
            <w:tcW w:type="dxa" w:w="2045"/>
            <w:vAlign w:val="center"/>
          </w:tcPr>
          <w:p>
            <w:r/>
            <w:r>
              <w:rPr>
                <w:b w:val="0"/>
                <w:sz w:val="16"/>
              </w:rPr>
              <w:t>DOWNSTREAM ENGINEERING DECISION.</w:t>
            </w:r>
          </w:p>
        </w:tc>
      </w:tr>
      <w:tr>
        <w:tc>
          <w:tcPr>
            <w:tcW w:type="dxa" w:w="2045"/>
            <w:vAlign w:val="center"/>
          </w:tcPr>
          <w:p>
            <w:r/>
            <w:r>
              <w:rPr>
                <w:b w:val="0"/>
                <w:sz w:val="16"/>
              </w:rPr>
              <w:t>AEP3-OD-05</w:t>
            </w:r>
          </w:p>
        </w:tc>
        <w:tc>
          <w:tcPr>
            <w:tcW w:type="dxa" w:w="2045"/>
            <w:vAlign w:val="center"/>
          </w:tcPr>
          <w:p>
            <w:r/>
            <w:r>
              <w:rPr>
                <w:b w:val="0"/>
                <w:sz w:val="16"/>
              </w:rPr>
              <w:t>Rule temporal/effective-date semantics</w:t>
            </w:r>
          </w:p>
        </w:tc>
        <w:tc>
          <w:tcPr>
            <w:tcW w:type="dxa" w:w="2045"/>
            <w:vAlign w:val="center"/>
          </w:tcPr>
          <w:p>
            <w:r/>
            <w:r>
              <w:rPr>
                <w:b w:val="0"/>
                <w:sz w:val="16"/>
              </w:rPr>
              <w:t>OPEN / CONTROLLED</w:t>
            </w:r>
          </w:p>
        </w:tc>
        <w:tc>
          <w:tcPr>
            <w:tcW w:type="dxa" w:w="2045"/>
            <w:vAlign w:val="center"/>
          </w:tcPr>
          <w:p>
            <w:r/>
            <w:r>
              <w:rPr>
                <w:b w:val="0"/>
                <w:sz w:val="16"/>
              </w:rPr>
              <w:t>Do not introduce unsupported temporal invariant/effective_from/effective_to.</w:t>
            </w:r>
          </w:p>
        </w:tc>
        <w:tc>
          <w:tcPr>
            <w:tcW w:type="dxa" w:w="2045"/>
            <w:vAlign w:val="center"/>
          </w:tcPr>
          <w:p>
            <w:r/>
            <w:r>
              <w:rPr>
                <w:b w:val="0"/>
                <w:sz w:val="16"/>
              </w:rPr>
              <w:t>DOWNSTREAM GOVERNANCE/ENGINEERING DECISION ONLY IF REQUIRED.</w:t>
            </w:r>
          </w:p>
        </w:tc>
      </w:tr>
    </w:tbl>
    <w:p>
      <w:pPr>
        <w:pStyle w:val="Heading1"/>
      </w:pPr>
      <w:r>
        <w:t>3. OD-02 — Authority / Scope Cardinality</w:t>
      </w:r>
    </w:p>
    <w:p>
      <w:r>
        <w:t>Source establishes hybrid Title/Awarding authority involving RumahAgen, Partner, Agency/Organization and platform scope, but explicitly says Agency and Organization semantics must not be assumed interchangeable and exact cardinality remains downstream-governance dependent.</w:t>
      </w:r>
    </w:p>
    <w:p>
      <w:pPr>
        <w:pStyle w:val="ListBullet"/>
      </w:pPr>
      <w:r>
        <w:t>Logical Authority/Scope Binding is already established.</w:t>
      </w:r>
    </w:p>
    <w:p>
      <w:pPr>
        <w:pStyle w:val="ListBullet"/>
      </w:pPr>
      <w:r>
        <w:t>MADCR-053 now establishes Capability + Permission + Scope as the canonical authorization vocabulary.</w:t>
      </w:r>
    </w:p>
    <w:p>
      <w:pPr>
        <w:pStyle w:val="ListBullet"/>
      </w:pPr>
      <w:r>
        <w:t>MADCR-054 establishes explicit Host/Instructor capability separation.</w:t>
      </w:r>
    </w:p>
    <w:p>
      <w:pPr>
        <w:pStyle w:val="ListBullet"/>
      </w:pPr>
      <w:r>
        <w:t>AEP3-OD-06 establishes Awarding Authority as role + capability permission + explicit Authority/Scope Binding.</w:t>
      </w:r>
    </w:p>
    <w:p>
      <w:pPr>
        <w:pStyle w:val="ListBullet"/>
      </w:pPr>
      <w:r>
        <w:t>Therefore OD-02 no longer requires a new semantic architecture decision; it requires physical cardinality design when the Authority/RLS schema is actually finalized.</w:t>
      </w:r>
    </w:p>
    <w:p>
      <w:pPr>
        <w:pStyle w:val="ListBullet"/>
      </w:pPr>
      <w:r>
        <w:t>R4 recommendation: retain OPEN and design the physical binding only after the actual current RBAC/organization/partner schema is reconciled.</w:t>
      </w:r>
    </w:p>
    <w:p>
      <w:pPr>
        <w:pStyle w:val="Heading1"/>
      </w:pPr>
      <w:r>
        <w:t>4. OD-03 — Lifecycle / Appeal Storage</w:t>
      </w:r>
    </w:p>
    <w:p>
      <w:pPr>
        <w:pStyle w:val="ListBullet"/>
      </w:pPr>
      <w:r>
        <w:t>Historical integrity is mandatory: Award Instance identity survives Expired, Revoked, Appeal and Restored transitions.</w:t>
      </w:r>
    </w:p>
    <w:p>
      <w:pPr>
        <w:pStyle w:val="ListBullet"/>
      </w:pPr>
      <w:r>
        <w:t>Successful appeal restores the original Award Instance; it does not create a new Award.</w:t>
      </w:r>
    </w:p>
    <w:p>
      <w:pPr>
        <w:pStyle w:val="ListBullet"/>
      </w:pPr>
      <w:r>
        <w:t>Revocation is lifecycle state/event, not deletion.</w:t>
      </w:r>
    </w:p>
    <w:p>
      <w:pPr>
        <w:pStyle w:val="ListBullet"/>
      </w:pPr>
      <w:r>
        <w:t>Exact physical mechanism (separate immutable history rows vs state + audit model or another governed pattern) is not fixed by source.</w:t>
      </w:r>
    </w:p>
    <w:p>
      <w:pPr>
        <w:pStyle w:val="ListBullet"/>
      </w:pPr>
      <w:r>
        <w:t>R4 recommendation: do not elevate to new governance decision; make it an engineering design choice subject to acceptance tests for historical integrity.</w:t>
      </w:r>
    </w:p>
    <w:p>
      <w:pPr>
        <w:pStyle w:val="Heading1"/>
      </w:pPr>
      <w:r>
        <w:t>5. OD-04 — Rule Lineage Cardinality</w:t>
      </w:r>
    </w:p>
    <w:p>
      <w:pPr>
        <w:pStyle w:val="ListBullet"/>
      </w:pPr>
      <w:r>
        <w:t>Historical Award interpretation must retain the applicable Awarding Path Version and Awarding Rule Version.</w:t>
      </w:r>
    </w:p>
    <w:p>
      <w:pPr>
        <w:pStyle w:val="ListBullet"/>
      </w:pPr>
      <w:r>
        <w:t>Path Version and Rule Version are distinct boundaries; one Path Version may reuse an applicable Rule Version.</w:t>
      </w:r>
    </w:p>
    <w:p>
      <w:pPr>
        <w:pStyle w:val="ListBullet"/>
      </w:pPr>
      <w:r>
        <w:t>Source does not establish a physical FK/cardinality beyond required provenance.</w:t>
      </w:r>
    </w:p>
    <w:p>
      <w:pPr>
        <w:pStyle w:val="ListBullet"/>
      </w:pPr>
      <w:r>
        <w:t>R4 recommendation: keep OPEN/controlled; physical lineage design must guarantee historical addressability without inventing additional cardinality.</w:t>
      </w:r>
    </w:p>
    <w:p>
      <w:pPr>
        <w:pStyle w:val="Heading1"/>
      </w:pPr>
      <w:r>
        <w:t>6. OD-05 — Rule Temporal / Effective-Date Semantics</w:t>
      </w:r>
    </w:p>
    <w:p>
      <w:pPr>
        <w:pStyle w:val="ListBullet"/>
      </w:pPr>
      <w:r>
        <w:t>Source requires historical interpretation of the Path/Rule versions used by an Award.</w:t>
      </w:r>
    </w:p>
    <w:p>
      <w:pPr>
        <w:pStyle w:val="ListBullet"/>
      </w:pPr>
      <w:r>
        <w:t>Source explicitly says no effective_from/effective_to invariant is locked.</w:t>
      </w:r>
    </w:p>
    <w:p>
      <w:pPr>
        <w:pStyle w:val="ListBullet"/>
      </w:pPr>
      <w:r>
        <w:t>Current title configuration must not rewrite historical award meaning.</w:t>
      </w:r>
    </w:p>
    <w:p>
      <w:pPr>
        <w:pStyle w:val="ListBullet"/>
      </w:pPr>
      <w:r>
        <w:t>R4 recommendation: do not invent temporal columns or effective-date constraints. If implementation later requires temporal selection, return to governance with evidence.</w:t>
      </w:r>
    </w:p>
    <w:p>
      <w:pPr>
        <w:pStyle w:val="Heading1"/>
      </w:pPr>
      <w:r>
        <w:t>7. Physical Readiness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Area</w:t>
            </w:r>
          </w:p>
        </w:tc>
        <w:tc>
          <w:tcPr>
            <w:tcW w:type="dxa" w:w="2045"/>
            <w:vAlign w:val="center"/>
            <w:shd w:fill="D9EAF7"/>
          </w:tcPr>
          <w:p>
            <w:r/>
            <w:r>
              <w:rPr>
                <w:b/>
                <w:sz w:val="16"/>
              </w:rPr>
              <w:t>Semantic Ready?</w:t>
            </w:r>
          </w:p>
        </w:tc>
        <w:tc>
          <w:tcPr>
            <w:tcW w:type="dxa" w:w="2045"/>
            <w:vAlign w:val="center"/>
            <w:shd w:fill="D9EAF7"/>
          </w:tcPr>
          <w:p>
            <w:r/>
            <w:r>
              <w:rPr>
                <w:b/>
                <w:sz w:val="16"/>
              </w:rPr>
              <w:t>Physical Ready?</w:t>
            </w:r>
          </w:p>
        </w:tc>
        <w:tc>
          <w:tcPr>
            <w:tcW w:type="dxa" w:w="2045"/>
            <w:vAlign w:val="center"/>
            <w:shd w:fill="D9EAF7"/>
          </w:tcPr>
          <w:p>
            <w:r/>
            <w:r>
              <w:rPr>
                <w:b/>
                <w:sz w:val="16"/>
              </w:rPr>
              <w:t>Can Design Now?</w:t>
            </w:r>
          </w:p>
        </w:tc>
        <w:tc>
          <w:tcPr>
            <w:tcW w:type="dxa" w:w="2045"/>
            <w:vAlign w:val="center"/>
            <w:shd w:fill="D9EAF7"/>
          </w:tcPr>
          <w:p>
            <w:r/>
            <w:r>
              <w:rPr>
                <w:b/>
                <w:sz w:val="16"/>
              </w:rPr>
              <w:t>Control</w:t>
            </w:r>
          </w:p>
        </w:tc>
      </w:tr>
      <w:tr>
        <w:tc>
          <w:tcPr>
            <w:tcW w:type="dxa" w:w="2045"/>
            <w:vAlign w:val="center"/>
          </w:tcPr>
          <w:p>
            <w:r/>
            <w:r>
              <w:rPr>
                <w:b w:val="0"/>
                <w:sz w:val="16"/>
              </w:rPr>
              <w:t>Authority/Scope binding</w:t>
            </w:r>
          </w:p>
        </w:tc>
        <w:tc>
          <w:tcPr>
            <w:tcW w:type="dxa" w:w="2045"/>
            <w:vAlign w:val="center"/>
          </w:tcPr>
          <w:p>
            <w:r/>
            <w:r>
              <w:rPr>
                <w:b w:val="0"/>
                <w:sz w:val="16"/>
              </w:rPr>
              <w:t>YES</w:t>
            </w:r>
          </w:p>
        </w:tc>
        <w:tc>
          <w:tcPr>
            <w:tcW w:type="dxa" w:w="2045"/>
            <w:vAlign w:val="center"/>
          </w:tcPr>
          <w:p>
            <w:r/>
            <w:r>
              <w:rPr>
                <w:b w:val="0"/>
                <w:sz w:val="16"/>
              </w:rPr>
              <w:t>NO — exact cardinality open</w:t>
            </w:r>
          </w:p>
        </w:tc>
        <w:tc>
          <w:tcPr>
            <w:tcW w:type="dxa" w:w="2045"/>
            <w:vAlign w:val="center"/>
          </w:tcPr>
          <w:p>
            <w:r/>
            <w:r>
              <w:rPr>
                <w:b w:val="0"/>
                <w:sz w:val="16"/>
              </w:rPr>
              <w:t>Logical placeholder only</w:t>
            </w:r>
          </w:p>
        </w:tc>
        <w:tc>
          <w:tcPr>
            <w:tcW w:type="dxa" w:w="2045"/>
            <w:vAlign w:val="center"/>
          </w:tcPr>
          <w:p>
            <w:r/>
            <w:r>
              <w:rPr>
                <w:b w:val="0"/>
                <w:sz w:val="16"/>
              </w:rPr>
              <w:t>Do not invent cardinality.</w:t>
            </w:r>
          </w:p>
        </w:tc>
      </w:tr>
      <w:tr>
        <w:tc>
          <w:tcPr>
            <w:tcW w:type="dxa" w:w="2045"/>
            <w:vAlign w:val="center"/>
          </w:tcPr>
          <w:p>
            <w:r/>
            <w:r>
              <w:rPr>
                <w:b w:val="0"/>
                <w:sz w:val="16"/>
              </w:rPr>
              <w:t>Award lifecycle/appeal</w:t>
            </w:r>
          </w:p>
        </w:tc>
        <w:tc>
          <w:tcPr>
            <w:tcW w:type="dxa" w:w="2045"/>
            <w:vAlign w:val="center"/>
          </w:tcPr>
          <w:p>
            <w:r/>
            <w:r>
              <w:rPr>
                <w:b w:val="0"/>
                <w:sz w:val="16"/>
              </w:rPr>
              <w:t>YES</w:t>
            </w:r>
          </w:p>
        </w:tc>
        <w:tc>
          <w:tcPr>
            <w:tcW w:type="dxa" w:w="2045"/>
            <w:vAlign w:val="center"/>
          </w:tcPr>
          <w:p>
            <w:r/>
            <w:r>
              <w:rPr>
                <w:b w:val="0"/>
                <w:sz w:val="16"/>
              </w:rPr>
              <w:t>PARTIAL</w:t>
            </w:r>
          </w:p>
        </w:tc>
        <w:tc>
          <w:tcPr>
            <w:tcW w:type="dxa" w:w="2045"/>
            <w:vAlign w:val="center"/>
          </w:tcPr>
          <w:p>
            <w:r/>
            <w:r>
              <w:rPr>
                <w:b w:val="0"/>
                <w:sz w:val="16"/>
              </w:rPr>
              <w:t>Yes, implementation-neutral options may be evaluated</w:t>
            </w:r>
          </w:p>
        </w:tc>
        <w:tc>
          <w:tcPr>
            <w:tcW w:type="dxa" w:w="2045"/>
            <w:vAlign w:val="center"/>
          </w:tcPr>
          <w:p>
            <w:r/>
            <w:r>
              <w:rPr>
                <w:b w:val="0"/>
                <w:sz w:val="16"/>
              </w:rPr>
              <w:t>Must preserve immutable history semantics.</w:t>
            </w:r>
          </w:p>
        </w:tc>
      </w:tr>
      <w:tr>
        <w:tc>
          <w:tcPr>
            <w:tcW w:type="dxa" w:w="2045"/>
            <w:vAlign w:val="center"/>
          </w:tcPr>
          <w:p>
            <w:r/>
            <w:r>
              <w:rPr>
                <w:b w:val="0"/>
                <w:sz w:val="16"/>
              </w:rPr>
              <w:t>Rule lineage</w:t>
            </w:r>
          </w:p>
        </w:tc>
        <w:tc>
          <w:tcPr>
            <w:tcW w:type="dxa" w:w="2045"/>
            <w:vAlign w:val="center"/>
          </w:tcPr>
          <w:p>
            <w:r/>
            <w:r>
              <w:rPr>
                <w:b w:val="0"/>
                <w:sz w:val="16"/>
              </w:rPr>
              <w:t>YES</w:t>
            </w:r>
          </w:p>
        </w:tc>
        <w:tc>
          <w:tcPr>
            <w:tcW w:type="dxa" w:w="2045"/>
            <w:vAlign w:val="center"/>
          </w:tcPr>
          <w:p>
            <w:r/>
            <w:r>
              <w:rPr>
                <w:b w:val="0"/>
                <w:sz w:val="16"/>
              </w:rPr>
              <w:t>PARTIAL</w:t>
            </w:r>
          </w:p>
        </w:tc>
        <w:tc>
          <w:tcPr>
            <w:tcW w:type="dxa" w:w="2045"/>
            <w:vAlign w:val="center"/>
          </w:tcPr>
          <w:p>
            <w:r/>
            <w:r>
              <w:rPr>
                <w:b w:val="0"/>
                <w:sz w:val="16"/>
              </w:rPr>
              <w:t>Yes, provenance-first design</w:t>
            </w:r>
          </w:p>
        </w:tc>
        <w:tc>
          <w:tcPr>
            <w:tcW w:type="dxa" w:w="2045"/>
            <w:vAlign w:val="center"/>
          </w:tcPr>
          <w:p>
            <w:r/>
            <w:r>
              <w:rPr>
                <w:b w:val="0"/>
                <w:sz w:val="16"/>
              </w:rPr>
              <w:t>No unsupported FK/cardinality.</w:t>
            </w:r>
          </w:p>
        </w:tc>
      </w:tr>
      <w:tr>
        <w:tc>
          <w:tcPr>
            <w:tcW w:type="dxa" w:w="2045"/>
            <w:vAlign w:val="center"/>
          </w:tcPr>
          <w:p>
            <w:r/>
            <w:r>
              <w:rPr>
                <w:b w:val="0"/>
                <w:sz w:val="16"/>
              </w:rPr>
              <w:t>Temporal semantics</w:t>
            </w:r>
          </w:p>
        </w:tc>
        <w:tc>
          <w:tcPr>
            <w:tcW w:type="dxa" w:w="2045"/>
            <w:vAlign w:val="center"/>
          </w:tcPr>
          <w:p>
            <w:r/>
            <w:r>
              <w:rPr>
                <w:b w:val="0"/>
                <w:sz w:val="16"/>
              </w:rPr>
              <w:t>YES</w:t>
            </w:r>
          </w:p>
        </w:tc>
        <w:tc>
          <w:tcPr>
            <w:tcW w:type="dxa" w:w="2045"/>
            <w:vAlign w:val="center"/>
          </w:tcPr>
          <w:p>
            <w:r/>
            <w:r>
              <w:rPr>
                <w:b w:val="0"/>
                <w:sz w:val="16"/>
              </w:rPr>
              <w:t>NO for invariant</w:t>
            </w:r>
          </w:p>
        </w:tc>
        <w:tc>
          <w:tcPr>
            <w:tcW w:type="dxa" w:w="2045"/>
            <w:vAlign w:val="center"/>
          </w:tcPr>
          <w:p>
            <w:r/>
            <w:r>
              <w:rPr>
                <w:b w:val="0"/>
                <w:sz w:val="16"/>
              </w:rPr>
              <w:t>No final temporal constraint</w:t>
            </w:r>
          </w:p>
        </w:tc>
        <w:tc>
          <w:tcPr>
            <w:tcW w:type="dxa" w:w="2045"/>
            <w:vAlign w:val="center"/>
          </w:tcPr>
          <w:p>
            <w:r/>
            <w:r>
              <w:rPr>
                <w:b w:val="0"/>
                <w:sz w:val="16"/>
              </w:rPr>
              <w:t>No effective_from/effective_to assumption.</w:t>
            </w:r>
          </w:p>
        </w:tc>
      </w:tr>
      <w:tr>
        <w:tc>
          <w:tcPr>
            <w:tcW w:type="dxa" w:w="2045"/>
            <w:vAlign w:val="center"/>
          </w:tcPr>
          <w:p>
            <w:r/>
            <w:r>
              <w:rPr>
                <w:b w:val="0"/>
                <w:sz w:val="16"/>
              </w:rPr>
              <w:t>Award/Profile presentation</w:t>
            </w:r>
          </w:p>
        </w:tc>
        <w:tc>
          <w:tcPr>
            <w:tcW w:type="dxa" w:w="2045"/>
            <w:vAlign w:val="center"/>
          </w:tcPr>
          <w:p>
            <w:r/>
            <w:r>
              <w:rPr>
                <w:b w:val="0"/>
                <w:sz w:val="16"/>
              </w:rPr>
              <w:t>YES</w:t>
            </w:r>
          </w:p>
        </w:tc>
        <w:tc>
          <w:tcPr>
            <w:tcW w:type="dxa" w:w="2045"/>
            <w:vAlign w:val="center"/>
          </w:tcPr>
          <w:p>
            <w:r/>
            <w:r>
              <w:rPr>
                <w:b w:val="0"/>
                <w:sz w:val="16"/>
              </w:rPr>
              <w:t>YES at logical level</w:t>
            </w:r>
          </w:p>
        </w:tc>
        <w:tc>
          <w:tcPr>
            <w:tcW w:type="dxa" w:w="2045"/>
            <w:vAlign w:val="center"/>
          </w:tcPr>
          <w:p>
            <w:r/>
            <w:r>
              <w:rPr>
                <w:b w:val="0"/>
                <w:sz w:val="16"/>
              </w:rPr>
              <w:t>Yes, physical detail separately</w:t>
            </w:r>
          </w:p>
        </w:tc>
        <w:tc>
          <w:tcPr>
            <w:tcW w:type="dxa" w:w="2045"/>
            <w:vAlign w:val="center"/>
          </w:tcPr>
          <w:p>
            <w:r/>
            <w:r>
              <w:rPr>
                <w:b w:val="0"/>
                <w:sz w:val="16"/>
              </w:rPr>
              <w:t>Preserve primary/featured constraints.</w:t>
            </w:r>
          </w:p>
        </w:tc>
      </w:tr>
      <w:tr>
        <w:tc>
          <w:tcPr>
            <w:tcW w:type="dxa" w:w="2045"/>
            <w:vAlign w:val="center"/>
          </w:tcPr>
          <w:p>
            <w:r/>
            <w:r>
              <w:rPr>
                <w:b w:val="0"/>
                <w:sz w:val="16"/>
              </w:rPr>
              <w:t>RBAC + Authority</w:t>
            </w:r>
          </w:p>
        </w:tc>
        <w:tc>
          <w:tcPr>
            <w:tcW w:type="dxa" w:w="2045"/>
            <w:vAlign w:val="center"/>
          </w:tcPr>
          <w:p>
            <w:r/>
            <w:r>
              <w:rPr>
                <w:b w:val="0"/>
                <w:sz w:val="16"/>
              </w:rPr>
              <w:t>YES</w:t>
            </w:r>
          </w:p>
        </w:tc>
        <w:tc>
          <w:tcPr>
            <w:tcW w:type="dxa" w:w="2045"/>
            <w:vAlign w:val="center"/>
          </w:tcPr>
          <w:p>
            <w:r/>
            <w:r>
              <w:rPr>
                <w:b w:val="0"/>
                <w:sz w:val="16"/>
              </w:rPr>
              <w:t>PARTIAL</w:t>
            </w:r>
          </w:p>
        </w:tc>
        <w:tc>
          <w:tcPr>
            <w:tcW w:type="dxa" w:w="2045"/>
            <w:vAlign w:val="center"/>
          </w:tcPr>
          <w:p>
            <w:r/>
            <w:r>
              <w:rPr>
                <w:b w:val="0"/>
                <w:sz w:val="16"/>
              </w:rPr>
              <w:t>Semantic integration ready</w:t>
            </w:r>
          </w:p>
        </w:tc>
        <w:tc>
          <w:tcPr>
            <w:tcW w:type="dxa" w:w="2045"/>
            <w:vAlign w:val="center"/>
          </w:tcPr>
          <w:p>
            <w:r/>
            <w:r>
              <w:rPr>
                <w:b w:val="0"/>
                <w:sz w:val="16"/>
              </w:rPr>
              <w:t>Exact IDs and RLS physical mapping downstream.</w:t>
            </w:r>
          </w:p>
        </w:tc>
      </w:tr>
    </w:tbl>
    <w:p>
      <w:pPr>
        <w:pStyle w:val="Heading1"/>
      </w:pPr>
      <w:r>
        <w:t>8. Important Finding</w:t>
      </w:r>
    </w:p>
    <w:p>
      <w:r>
        <w:rPr>
          <w:b/>
        </w:rPr>
        <w:t>R4 does NOT justify opening new user decisions.</w:t>
      </w:r>
    </w:p>
    <w:p>
      <w:r>
        <w:t>The source corpus already intentionally classified OD-02…05 as controlled downstream dependencies. AEP3 consolidation explicitly says they do not block semantic completion and should not be silently closed. Therefore the correct action is to preserve their OPEN status while moving toward a controlled technical design package.</w:t>
      </w:r>
    </w:p>
    <w:p>
      <w:pPr>
        <w:pStyle w:val="Heading1"/>
      </w:pPr>
      <w:r>
        <w:t>9. Interaction With New Governing Decisions</w:t>
      </w:r>
    </w:p>
    <w:p>
      <w:pPr>
        <w:pStyle w:val="ListBullet"/>
      </w:pPr>
      <w:r>
        <w:t>MADCR-049: Course/Module completion is a Learning Activity boundary; no effect on AEP3 OD-02…05.</w:t>
      </w:r>
    </w:p>
    <w:p>
      <w:pPr>
        <w:pStyle w:val="ListBullet"/>
      </w:pPr>
      <w:r>
        <w:t>MADCR-053: Capability + Permission + Scope is now governing and provides the authorization vocabulary required by OD-02.</w:t>
      </w:r>
    </w:p>
    <w:p>
      <w:pPr>
        <w:pStyle w:val="ListBullet"/>
      </w:pPr>
      <w:r>
        <w:t>MADCR-054: Host/Instructor are separate capabilities; this must be respected if any Awarding or Session authority crosses domains.</w:t>
      </w:r>
    </w:p>
    <w:p>
      <w:pPr>
        <w:pStyle w:val="ListBullet"/>
      </w:pPr>
      <w:r>
        <w:t>Provider capability R3: provider selection remains adapter/configuration concern; it does not resolve Awarding authority cardinality.</w:t>
      </w:r>
    </w:p>
    <w:p>
      <w:pPr>
        <w:pStyle w:val="ListBullet"/>
      </w:pPr>
      <w:r>
        <w:t>Global sync execution lock: physical migration and global baseline rewrite remain unauthorized.</w:t>
      </w:r>
    </w:p>
    <w:p>
      <w:pPr>
        <w:pStyle w:val="Heading1"/>
      </w:pPr>
      <w:r>
        <w:t>10. R4 Gate Result</w:t>
      </w:r>
    </w:p>
    <w:p>
      <w:r>
        <w:rPr>
          <w:b/>
        </w:rPr>
        <w:t>R4 = PASS WITH CONTROLLED PHYSICAL DESIGN HOLDS.</w:t>
      </w:r>
    </w:p>
    <w:p>
      <w:r>
        <w:t>No semantic contradiction was found. OD-02 is the only item that can become a hard physical schema/RLS blocker; OD-03/04/05 can remain engineering-level controlled decisions provided the required historical/provenance invariants are preserved.</w:t>
      </w:r>
    </w:p>
    <w:p>
      <w:pPr>
        <w:pStyle w:val="Heading1"/>
      </w:pPr>
      <w:r>
        <w:t>11. What Can Proceed</w:t>
      </w:r>
    </w:p>
    <w:p>
      <w:pPr>
        <w:pStyle w:val="ListBullet"/>
      </w:pPr>
      <w:r>
        <w:t>Implementation-neutral physical design alternatives for Authority/Scope binding can be drafted, but not finalized.</w:t>
      </w:r>
    </w:p>
    <w:p>
      <w:pPr>
        <w:pStyle w:val="ListBullet"/>
      </w:pPr>
      <w:r>
        <w:t>Lifecycle/Appeal storage alternatives can be evaluated against acceptance criteria.</w:t>
      </w:r>
    </w:p>
    <w:p>
      <w:pPr>
        <w:pStyle w:val="ListBullet"/>
      </w:pPr>
      <w:r>
        <w:t>Rule lineage storage can be designed around provenance without imposing unsupported cardinality.</w:t>
      </w:r>
    </w:p>
    <w:p>
      <w:pPr>
        <w:pStyle w:val="ListBullet"/>
      </w:pPr>
      <w:r>
        <w:t>Technical test scenarios for historical integrity can be finalized.</w:t>
      </w:r>
    </w:p>
    <w:p>
      <w:pPr>
        <w:pStyle w:val="ListBullet"/>
      </w:pPr>
      <w:r>
        <w:t>Provider Connection / Provider Selection Scope can be treated as a Session technical-design requirement without changing AEP3 governance.</w:t>
      </w:r>
    </w:p>
    <w:p>
      <w:pPr>
        <w:pStyle w:val="ListBullet"/>
      </w:pPr>
      <w:r>
        <w:t>Canonical RBAC reconciliation can proceed using MADCR-053/054 semantics, while exact IDs remain deferred.</w:t>
      </w:r>
    </w:p>
    <w:p>
      <w:pPr>
        <w:pStyle w:val="Heading1"/>
      </w:pPr>
      <w:r>
        <w:t>12. What Remains Prohibited</w:t>
      </w:r>
    </w:p>
    <w:p>
      <w:pPr>
        <w:pStyle w:val="ListBullet"/>
      </w:pPr>
      <w:r>
        <w:t>Final Authority/Scope FK/cardinality without evidence/governance.</w:t>
      </w:r>
    </w:p>
    <w:p>
      <w:pPr>
        <w:pStyle w:val="ListBullet"/>
      </w:pPr>
      <w:r>
        <w:t>Final RLS policy based on invented organization/agency equivalence.</w:t>
      </w:r>
    </w:p>
    <w:p>
      <w:pPr>
        <w:pStyle w:val="ListBullet"/>
      </w:pPr>
      <w:r>
        <w:t>Mandatory effective_from/effective_to temporal schema.</w:t>
      </w:r>
    </w:p>
    <w:p>
      <w:pPr>
        <w:pStyle w:val="ListBullet"/>
      </w:pPr>
      <w:r>
        <w:t>Migration execution.</w:t>
      </w:r>
    </w:p>
    <w:p>
      <w:pPr>
        <w:pStyle w:val="ListBullet"/>
      </w:pPr>
      <w:r>
        <w:t>Rewriting historical Award records to fit current configuration.</w:t>
      </w:r>
    </w:p>
    <w:p>
      <w:pPr>
        <w:pStyle w:val="ListBullet"/>
      </w:pPr>
      <w:r>
        <w:t>Creating a dedicated Issuer role without a new governing decision.</w:t>
      </w:r>
    </w:p>
    <w:p>
      <w:pPr>
        <w:pStyle w:val="Heading1"/>
      </w:pPr>
      <w:r>
        <w:t>13. Next Step</w:t>
      </w:r>
    </w:p>
    <w:p>
      <w:r>
        <w:t>R4 tidak membutuhkan user decision. Langkah berikutnya adalah menyusun Technical Execution Authorization Package yang menggabungkan: closed governance decisions (MADCR-049/053/054), provider capability result, controlled OD-02…05, Session/Event technical residuals, dan remaining commercial evidence gaps. Package tersebut menjadi gate sebelum physical implementation.</w:t>
      </w:r>
    </w:p>
    <w:p>
      <w:pPr>
        <w:pStyle w:val="Heading1"/>
      </w:pPr>
      <w:r>
        <w:t>14. Source Integrity</w:t>
      </w:r>
    </w:p>
    <w:p>
      <w:r>
        <w:t>R4 mempertahankan terminology dan treatment dari AEP3 source: OD-02/03/04/05 tetap OPEN/CONTROLLED. Tidak ada item yang ditutup melalui inference. Physical design readiness dibedakan dari semantic architecture completion.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