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w:t>
        <w:br/>
        <w:t>TECHNICAL EXECUTION AUTHORIZATION PACKAGE</w:t>
      </w:r>
    </w:p>
    <w:p>
      <w:pPr>
        <w:jc w:val="center"/>
      </w:pPr>
      <w:r>
        <w:rPr>
          <w:b/>
        </w:rPr>
        <w:t>Version 1.0 | 16 August 2026 | Consolidated Gate — PHYSICAL IMPLEMENTATION NOT YET AUTHORIZED</w:t>
      </w:r>
    </w:p>
    <w:p>
      <w:pPr>
        <w:pStyle w:val="Heading1"/>
      </w:pPr>
      <w:r>
        <w:t>1. Executive Gate</w:t>
      </w:r>
    </w:p>
    <w:p>
      <w:r>
        <w:rPr>
          <w:b/>
        </w:rPr>
        <w:t>RESULT: CONDITIONAL READINESS — PHYSICAL IMPLEMENTATION AUTHORIZATION REMAINS HOLD.</w:t>
      </w:r>
    </w:p>
    <w:p>
      <w:r>
        <w:t>The project has completed the locked AEP1→AEP4 semantic synchronization and the targeted residual assessments performed in this phase. MADCR-049, MADCR-053 and MADCR-054 have now been explicitly approved by the user in this conversation and are treated as current governing decisions. However, the source corpus still contains independent controlled residuals that affect physical design, production provider behavior, or historical integrity. Therefore this package authorizes preparation of implementation-neutral technical design, not database migration or production activation.</w:t>
      </w:r>
    </w:p>
    <w:p>
      <w:pPr>
        <w:pStyle w:val="Heading1"/>
      </w:pPr>
      <w:r>
        <w:t>2. Current Governing Decisions Applied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5"/>
              </w:rPr>
              <w:t>Decision</w:t>
            </w:r>
          </w:p>
        </w:tc>
        <w:tc>
          <w:tcPr>
            <w:tcW w:type="dxa" w:w="3456"/>
            <w:vAlign w:val="center"/>
            <w:shd w:fill="D9EAF7"/>
          </w:tcPr>
          <w:p>
            <w:r/>
            <w:r>
              <w:rPr>
                <w:b/>
                <w:sz w:val="15"/>
              </w:rPr>
              <w:t>Current State</w:t>
            </w:r>
          </w:p>
        </w:tc>
        <w:tc>
          <w:tcPr>
            <w:tcW w:type="dxa" w:w="3456"/>
            <w:vAlign w:val="center"/>
            <w:shd w:fill="D9EAF7"/>
          </w:tcPr>
          <w:p>
            <w:r/>
            <w:r>
              <w:rPr>
                <w:b/>
                <w:sz w:val="15"/>
              </w:rPr>
              <w:t>Downstream Effect</w:t>
            </w:r>
          </w:p>
        </w:tc>
      </w:tr>
      <w:tr>
        <w:tc>
          <w:tcPr>
            <w:tcW w:type="dxa" w:w="3456"/>
            <w:vAlign w:val="center"/>
          </w:tcPr>
          <w:p>
            <w:r/>
            <w:r>
              <w:rPr>
                <w:b w:val="0"/>
                <w:sz w:val="15"/>
              </w:rPr>
              <w:t>MADCR-049</w:t>
            </w:r>
          </w:p>
        </w:tc>
        <w:tc>
          <w:tcPr>
            <w:tcW w:type="dxa" w:w="3456"/>
            <w:vAlign w:val="center"/>
          </w:tcPr>
          <w:p>
            <w:r/>
            <w:r>
              <w:rPr>
                <w:b w:val="0"/>
                <w:sz w:val="15"/>
              </w:rPr>
              <w:t>APPROVED — Option A</w:t>
            </w:r>
          </w:p>
        </w:tc>
        <w:tc>
          <w:tcPr>
            <w:tcW w:type="dxa" w:w="3456"/>
            <w:vAlign w:val="center"/>
          </w:tcPr>
          <w:p>
            <w:r/>
            <w:r>
              <w:rPr>
                <w:b w:val="0"/>
                <w:sz w:val="15"/>
              </w:rPr>
              <w:t>Course/Module completion is a Learning Activity type/instance; Activity is canonical completion/reward boundary; Course remains content structure.</w:t>
            </w:r>
          </w:p>
        </w:tc>
      </w:tr>
      <w:tr>
        <w:tc>
          <w:tcPr>
            <w:tcW w:type="dxa" w:w="3456"/>
            <w:vAlign w:val="center"/>
          </w:tcPr>
          <w:p>
            <w:r/>
            <w:r>
              <w:rPr>
                <w:b w:val="0"/>
                <w:sz w:val="15"/>
              </w:rPr>
              <w:t>MADCR-053</w:t>
            </w:r>
          </w:p>
        </w:tc>
        <w:tc>
          <w:tcPr>
            <w:tcW w:type="dxa" w:w="3456"/>
            <w:vAlign w:val="center"/>
          </w:tcPr>
          <w:p>
            <w:r/>
            <w:r>
              <w:rPr>
                <w:b w:val="0"/>
                <w:sz w:val="15"/>
              </w:rPr>
              <w:t>APPROVED</w:t>
            </w:r>
          </w:p>
        </w:tc>
        <w:tc>
          <w:tcPr>
            <w:tcW w:type="dxa" w:w="3456"/>
            <w:vAlign w:val="center"/>
          </w:tcPr>
          <w:p>
            <w:r/>
            <w:r>
              <w:rPr>
                <w:b w:val="0"/>
                <w:sz w:val="15"/>
              </w:rPr>
              <w:t>Capability + Permission + Scope; Role as actor grouping; Entitlement and Qualification/Awarding Authority remain separate.</w:t>
            </w:r>
          </w:p>
        </w:tc>
      </w:tr>
      <w:tr>
        <w:tc>
          <w:tcPr>
            <w:tcW w:type="dxa" w:w="3456"/>
            <w:vAlign w:val="center"/>
          </w:tcPr>
          <w:p>
            <w:r/>
            <w:r>
              <w:rPr>
                <w:b w:val="0"/>
                <w:sz w:val="15"/>
              </w:rPr>
              <w:t>MADCR-054</w:t>
            </w:r>
          </w:p>
        </w:tc>
        <w:tc>
          <w:tcPr>
            <w:tcW w:type="dxa" w:w="3456"/>
            <w:vAlign w:val="center"/>
          </w:tcPr>
          <w:p>
            <w:r/>
            <w:r>
              <w:rPr>
                <w:b w:val="0"/>
                <w:sz w:val="15"/>
              </w:rPr>
              <w:t>APPROVED — Option A</w:t>
            </w:r>
          </w:p>
        </w:tc>
        <w:tc>
          <w:tcPr>
            <w:tcW w:type="dxa" w:w="3456"/>
            <w:vAlign w:val="center"/>
          </w:tcPr>
          <w:p>
            <w:r/>
            <w:r>
              <w:rPr>
                <w:b w:val="0"/>
                <w:sz w:val="15"/>
              </w:rPr>
              <w:t>Host and Instructor are separate capabilities; Instructor does not automatically receive Host/provider authority; dual capability requires explicit authorization.</w:t>
            </w:r>
          </w:p>
        </w:tc>
      </w:tr>
      <w:tr>
        <w:tc>
          <w:tcPr>
            <w:tcW w:type="dxa" w:w="3456"/>
            <w:vAlign w:val="center"/>
          </w:tcPr>
          <w:p>
            <w:r/>
            <w:r>
              <w:rPr>
                <w:b w:val="0"/>
                <w:sz w:val="15"/>
              </w:rPr>
              <w:t>Provider model refinement</w:t>
            </w:r>
          </w:p>
        </w:tc>
        <w:tc>
          <w:tcPr>
            <w:tcW w:type="dxa" w:w="3456"/>
            <w:vAlign w:val="center"/>
          </w:tcPr>
          <w:p>
            <w:r/>
            <w:r>
              <w:rPr>
                <w:b w:val="0"/>
                <w:sz w:val="15"/>
              </w:rPr>
              <w:t>Accepted technical direction, not a new governance decision</w:t>
            </w:r>
          </w:p>
        </w:tc>
        <w:tc>
          <w:tcPr>
            <w:tcW w:type="dxa" w:w="3456"/>
            <w:vAlign w:val="center"/>
          </w:tcPr>
          <w:p>
            <w:r/>
            <w:r>
              <w:rPr>
                <w:b w:val="0"/>
                <w:sz w:val="15"/>
              </w:rPr>
              <w:t>Admin/authorized Host may select from approved/connected providers; provider choice is session configuration, not semantic Session identity.</w:t>
            </w:r>
          </w:p>
        </w:tc>
      </w:tr>
    </w:tbl>
    <w:p>
      <w:pPr>
        <w:pStyle w:val="Heading1"/>
      </w:pPr>
      <w:r>
        <w:t>3. Source Reconciliation Note</w:t>
      </w:r>
    </w:p>
    <w:p>
      <w:r>
        <w:t>Several archived AEP3/AEP4 artifacts still display earlier statuses such as MADCR-049 OPEN and MADCR-053/054 BLOCKED. Those statements are historical source-state snapshots. They are not silently overwritten in the archive. For current project state, the explicit user decisions recorded after those artifacts are the latest governing decisions in this execution thread. All historical documents must remain traceable as historical versions.</w:t>
      </w:r>
    </w:p>
    <w:p>
      <w:pPr>
        <w:pStyle w:val="Heading1"/>
      </w:pPr>
      <w:r>
        <w:t>4. Residual Register</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
              <w:rPr>
                <w:b/>
                <w:sz w:val="15"/>
              </w:rPr>
              <w:t>Residual</w:t>
            </w:r>
          </w:p>
        </w:tc>
        <w:tc>
          <w:tcPr>
            <w:tcW w:type="dxa" w:w="1728"/>
            <w:vAlign w:val="center"/>
            <w:shd w:fill="D9EAF7"/>
          </w:tcPr>
          <w:p>
            <w:r/>
            <w:r>
              <w:rPr>
                <w:b/>
                <w:sz w:val="15"/>
              </w:rPr>
              <w:t>Current Status</w:t>
            </w:r>
          </w:p>
        </w:tc>
        <w:tc>
          <w:tcPr>
            <w:tcW w:type="dxa" w:w="1728"/>
            <w:vAlign w:val="center"/>
            <w:shd w:fill="D9EAF7"/>
          </w:tcPr>
          <w:p>
            <w:r/>
            <w:r>
              <w:rPr>
                <w:b/>
                <w:sz w:val="15"/>
              </w:rPr>
              <w:t>Physical Impact</w:t>
            </w:r>
          </w:p>
        </w:tc>
        <w:tc>
          <w:tcPr>
            <w:tcW w:type="dxa" w:w="1728"/>
            <w:vAlign w:val="center"/>
            <w:shd w:fill="D9EAF7"/>
          </w:tcPr>
          <w:p>
            <w:r/>
            <w:r>
              <w:rPr>
                <w:b/>
                <w:sz w:val="15"/>
              </w:rPr>
              <w:t>Can Proceed Now?</w:t>
            </w:r>
          </w:p>
        </w:tc>
        <w:tc>
          <w:tcPr>
            <w:tcW w:type="dxa" w:w="1728"/>
            <w:vAlign w:val="center"/>
            <w:shd w:fill="D9EAF7"/>
          </w:tcPr>
          <w:p>
            <w:r/>
            <w:r>
              <w:rPr>
                <w:b/>
                <w:sz w:val="15"/>
              </w:rPr>
              <w:t>Required Gate</w:t>
            </w:r>
          </w:p>
        </w:tc>
        <w:tc>
          <w:tcPr>
            <w:tcW w:type="dxa" w:w="1728"/>
            <w:vAlign w:val="center"/>
            <w:shd w:fill="D9EAF7"/>
          </w:tcPr>
          <w:p>
            <w:r/>
            <w:r>
              <w:rPr>
                <w:b/>
                <w:sz w:val="15"/>
              </w:rPr>
              <w:t>Priority</w:t>
            </w:r>
          </w:p>
        </w:tc>
      </w:tr>
      <w:tr>
        <w:tc>
          <w:tcPr>
            <w:tcW w:type="dxa" w:w="1728"/>
            <w:vAlign w:val="center"/>
          </w:tcPr>
          <w:p>
            <w:r/>
            <w:r>
              <w:rPr>
                <w:b w:val="0"/>
                <w:sz w:val="15"/>
              </w:rPr>
              <w:t>AEP4-OD-08 Automatic Provider Failover</w:t>
            </w:r>
          </w:p>
        </w:tc>
        <w:tc>
          <w:tcPr>
            <w:tcW w:type="dxa" w:w="1728"/>
            <w:vAlign w:val="center"/>
          </w:tcPr>
          <w:p>
            <w:r/>
            <w:r>
              <w:rPr>
                <w:b w:val="0"/>
                <w:sz w:val="15"/>
              </w:rPr>
              <w:t>OPEN / DEFERRED</w:t>
            </w:r>
          </w:p>
        </w:tc>
        <w:tc>
          <w:tcPr>
            <w:tcW w:type="dxa" w:w="1728"/>
            <w:vAlign w:val="center"/>
          </w:tcPr>
          <w:p>
            <w:r/>
            <w:r>
              <w:rPr>
                <w:b w:val="0"/>
                <w:sz w:val="15"/>
              </w:rPr>
              <w:t>High — provider continuity/evidence semantics</w:t>
            </w:r>
          </w:p>
        </w:tc>
        <w:tc>
          <w:tcPr>
            <w:tcW w:type="dxa" w:w="1728"/>
            <w:vAlign w:val="center"/>
          </w:tcPr>
          <w:p>
            <w:r/>
            <w:r>
              <w:rPr>
                <w:b w:val="0"/>
                <w:sz w:val="15"/>
              </w:rPr>
              <w:t>Adapter design can proceed; mandatory failover cannot.</w:t>
            </w:r>
          </w:p>
        </w:tc>
        <w:tc>
          <w:tcPr>
            <w:tcW w:type="dxa" w:w="1728"/>
            <w:vAlign w:val="center"/>
          </w:tcPr>
          <w:p>
            <w:r/>
            <w:r>
              <w:rPr>
                <w:b w:val="0"/>
                <w:sz w:val="15"/>
              </w:rPr>
              <w:t>Dedicated technical/operational decision</w:t>
            </w:r>
          </w:p>
        </w:tc>
        <w:tc>
          <w:tcPr>
            <w:tcW w:type="dxa" w:w="1728"/>
            <w:vAlign w:val="center"/>
          </w:tcPr>
          <w:p>
            <w:r/>
            <w:r>
              <w:rPr>
                <w:b w:val="0"/>
                <w:sz w:val="15"/>
              </w:rPr>
              <w:t>HIGH</w:t>
            </w:r>
          </w:p>
        </w:tc>
      </w:tr>
      <w:tr>
        <w:tc>
          <w:tcPr>
            <w:tcW w:type="dxa" w:w="1728"/>
            <w:vAlign w:val="center"/>
          </w:tcPr>
          <w:p>
            <w:r/>
            <w:r>
              <w:rPr>
                <w:b w:val="0"/>
                <w:sz w:val="15"/>
              </w:rPr>
              <w:t>Session ↔ Event cardinality</w:t>
            </w:r>
          </w:p>
        </w:tc>
        <w:tc>
          <w:tcPr>
            <w:tcW w:type="dxa" w:w="1728"/>
            <w:vAlign w:val="center"/>
          </w:tcPr>
          <w:p>
            <w:r/>
            <w:r>
              <w:rPr>
                <w:b w:val="0"/>
                <w:sz w:val="15"/>
              </w:rPr>
              <w:t>CONTROLLED OPEN</w:t>
            </w:r>
          </w:p>
        </w:tc>
        <w:tc>
          <w:tcPr>
            <w:tcW w:type="dxa" w:w="1728"/>
            <w:vAlign w:val="center"/>
          </w:tcPr>
          <w:p>
            <w:r/>
            <w:r>
              <w:rPr>
                <w:b w:val="0"/>
                <w:sz w:val="15"/>
              </w:rPr>
              <w:t>Medium/High — ERD/API relationship</w:t>
            </w:r>
          </w:p>
        </w:tc>
        <w:tc>
          <w:tcPr>
            <w:tcW w:type="dxa" w:w="1728"/>
            <w:vAlign w:val="center"/>
          </w:tcPr>
          <w:p>
            <w:r/>
            <w:r>
              <w:rPr>
                <w:b w:val="0"/>
                <w:sz w:val="15"/>
              </w:rPr>
              <w:t>Logical boundary yes; physical cardinality no.</w:t>
            </w:r>
          </w:p>
        </w:tc>
        <w:tc>
          <w:tcPr>
            <w:tcW w:type="dxa" w:w="1728"/>
            <w:vAlign w:val="center"/>
          </w:tcPr>
          <w:p>
            <w:r/>
            <w:r>
              <w:rPr>
                <w:b w:val="0"/>
                <w:sz w:val="15"/>
              </w:rPr>
              <w:t>Session/Event design gate</w:t>
            </w:r>
          </w:p>
        </w:tc>
        <w:tc>
          <w:tcPr>
            <w:tcW w:type="dxa" w:w="1728"/>
            <w:vAlign w:val="center"/>
          </w:tcPr>
          <w:p>
            <w:r/>
            <w:r>
              <w:rPr>
                <w:b w:val="0"/>
                <w:sz w:val="15"/>
              </w:rPr>
              <w:t>HIGH</w:t>
            </w:r>
          </w:p>
        </w:tc>
      </w:tr>
      <w:tr>
        <w:tc>
          <w:tcPr>
            <w:tcW w:type="dxa" w:w="1728"/>
            <w:vAlign w:val="center"/>
          </w:tcPr>
          <w:p>
            <w:r/>
            <w:r>
              <w:rPr>
                <w:b w:val="0"/>
                <w:sz w:val="15"/>
              </w:rPr>
              <w:t>Attendance policy</w:t>
            </w:r>
          </w:p>
        </w:tc>
        <w:tc>
          <w:tcPr>
            <w:tcW w:type="dxa" w:w="1728"/>
            <w:vAlign w:val="center"/>
          </w:tcPr>
          <w:p>
            <w:r/>
            <w:r>
              <w:rPr>
                <w:b w:val="0"/>
                <w:sz w:val="15"/>
              </w:rPr>
              <w:t>CONTROLLED OPEN</w:t>
            </w:r>
          </w:p>
        </w:tc>
        <w:tc>
          <w:tcPr>
            <w:tcW w:type="dxa" w:w="1728"/>
            <w:vAlign w:val="center"/>
          </w:tcPr>
          <w:p>
            <w:r/>
            <w:r>
              <w:rPr>
                <w:b w:val="0"/>
                <w:sz w:val="15"/>
              </w:rPr>
              <w:t>High — evidence/completion</w:t>
            </w:r>
          </w:p>
        </w:tc>
        <w:tc>
          <w:tcPr>
            <w:tcW w:type="dxa" w:w="1728"/>
            <w:vAlign w:val="center"/>
          </w:tcPr>
          <w:p>
            <w:r/>
            <w:r>
              <w:rPr>
                <w:b w:val="0"/>
                <w:sz w:val="15"/>
              </w:rPr>
              <w:t>Test semantics can proceed; final persistence/override rules need closure.</w:t>
            </w:r>
          </w:p>
        </w:tc>
        <w:tc>
          <w:tcPr>
            <w:tcW w:type="dxa" w:w="1728"/>
            <w:vAlign w:val="center"/>
          </w:tcPr>
          <w:p>
            <w:r/>
            <w:r>
              <w:rPr>
                <w:b w:val="0"/>
                <w:sz w:val="15"/>
              </w:rPr>
              <w:t>Learning Session technical/product gate</w:t>
            </w:r>
          </w:p>
        </w:tc>
        <w:tc>
          <w:tcPr>
            <w:tcW w:type="dxa" w:w="1728"/>
            <w:vAlign w:val="center"/>
          </w:tcPr>
          <w:p>
            <w:r/>
            <w:r>
              <w:rPr>
                <w:b w:val="0"/>
                <w:sz w:val="15"/>
              </w:rPr>
              <w:t>HIGH</w:t>
            </w:r>
          </w:p>
        </w:tc>
      </w:tr>
      <w:tr>
        <w:tc>
          <w:tcPr>
            <w:tcW w:type="dxa" w:w="1728"/>
            <w:vAlign w:val="center"/>
          </w:tcPr>
          <w:p>
            <w:r/>
            <w:r>
              <w:rPr>
                <w:b w:val="0"/>
                <w:sz w:val="15"/>
              </w:rPr>
              <w:t>Capacity policy</w:t>
            </w:r>
          </w:p>
        </w:tc>
        <w:tc>
          <w:tcPr>
            <w:tcW w:type="dxa" w:w="1728"/>
            <w:vAlign w:val="center"/>
          </w:tcPr>
          <w:p>
            <w:r/>
            <w:r>
              <w:rPr>
                <w:b w:val="0"/>
                <w:sz w:val="15"/>
              </w:rPr>
              <w:t>CONTROLLED OPEN</w:t>
            </w:r>
          </w:p>
        </w:tc>
        <w:tc>
          <w:tcPr>
            <w:tcW w:type="dxa" w:w="1728"/>
            <w:vAlign w:val="center"/>
          </w:tcPr>
          <w:p>
            <w:r/>
            <w:r>
              <w:rPr>
                <w:b w:val="0"/>
                <w:sz w:val="15"/>
              </w:rPr>
              <w:t>Medium — enrollment/access</w:t>
            </w:r>
          </w:p>
        </w:tc>
        <w:tc>
          <w:tcPr>
            <w:tcW w:type="dxa" w:w="1728"/>
            <w:vAlign w:val="center"/>
          </w:tcPr>
          <w:p>
            <w:r/>
            <w:r>
              <w:rPr>
                <w:b w:val="0"/>
                <w:sz w:val="15"/>
              </w:rPr>
              <w:t>UI/config concept can proceed; final enforcement contract needs closure.</w:t>
            </w:r>
          </w:p>
        </w:tc>
        <w:tc>
          <w:tcPr>
            <w:tcW w:type="dxa" w:w="1728"/>
            <w:vAlign w:val="center"/>
          </w:tcPr>
          <w:p>
            <w:r/>
            <w:r>
              <w:rPr>
                <w:b w:val="0"/>
                <w:sz w:val="15"/>
              </w:rPr>
              <w:t>Session technical gate</w:t>
            </w:r>
          </w:p>
        </w:tc>
        <w:tc>
          <w:tcPr>
            <w:tcW w:type="dxa" w:w="1728"/>
            <w:vAlign w:val="center"/>
          </w:tcPr>
          <w:p>
            <w:r/>
            <w:r>
              <w:rPr>
                <w:b w:val="0"/>
                <w:sz w:val="15"/>
              </w:rPr>
              <w:t>MEDIUM</w:t>
            </w:r>
          </w:p>
        </w:tc>
      </w:tr>
      <w:tr>
        <w:tc>
          <w:tcPr>
            <w:tcW w:type="dxa" w:w="1728"/>
            <w:vAlign w:val="center"/>
          </w:tcPr>
          <w:p>
            <w:r/>
            <w:r>
              <w:rPr>
                <w:b w:val="0"/>
                <w:sz w:val="15"/>
              </w:rPr>
              <w:t>Visibility taxonomy</w:t>
            </w:r>
          </w:p>
        </w:tc>
        <w:tc>
          <w:tcPr>
            <w:tcW w:type="dxa" w:w="1728"/>
            <w:vAlign w:val="center"/>
          </w:tcPr>
          <w:p>
            <w:r/>
            <w:r>
              <w:rPr>
                <w:b w:val="0"/>
                <w:sz w:val="15"/>
              </w:rPr>
              <w:t>CONTROLLED OPEN</w:t>
            </w:r>
          </w:p>
        </w:tc>
        <w:tc>
          <w:tcPr>
            <w:tcW w:type="dxa" w:w="1728"/>
            <w:vAlign w:val="center"/>
          </w:tcPr>
          <w:p>
            <w:r/>
            <w:r>
              <w:rPr>
                <w:b w:val="0"/>
                <w:sz w:val="15"/>
              </w:rPr>
              <w:t>Medium — authorization/RLS</w:t>
            </w:r>
          </w:p>
        </w:tc>
        <w:tc>
          <w:tcPr>
            <w:tcW w:type="dxa" w:w="1728"/>
            <w:vAlign w:val="center"/>
          </w:tcPr>
          <w:p>
            <w:r/>
            <w:r>
              <w:rPr>
                <w:b w:val="0"/>
                <w:sz w:val="15"/>
              </w:rPr>
              <w:t>Semantic categories can be prepared; final RLS mapping deferred.</w:t>
            </w:r>
          </w:p>
        </w:tc>
        <w:tc>
          <w:tcPr>
            <w:tcW w:type="dxa" w:w="1728"/>
            <w:vAlign w:val="center"/>
          </w:tcPr>
          <w:p>
            <w:r/>
            <w:r>
              <w:rPr>
                <w:b w:val="0"/>
                <w:sz w:val="15"/>
              </w:rPr>
              <w:t>MADCR-053 + Session scope design</w:t>
            </w:r>
          </w:p>
        </w:tc>
        <w:tc>
          <w:tcPr>
            <w:tcW w:type="dxa" w:w="1728"/>
            <w:vAlign w:val="center"/>
          </w:tcPr>
          <w:p>
            <w:r/>
            <w:r>
              <w:rPr>
                <w:b w:val="0"/>
                <w:sz w:val="15"/>
              </w:rPr>
              <w:t>MEDIUM</w:t>
            </w:r>
          </w:p>
        </w:tc>
      </w:tr>
      <w:tr>
        <w:tc>
          <w:tcPr>
            <w:tcW w:type="dxa" w:w="1728"/>
            <w:vAlign w:val="center"/>
          </w:tcPr>
          <w:p>
            <w:r/>
            <w:r>
              <w:rPr>
                <w:b w:val="0"/>
                <w:sz w:val="15"/>
              </w:rPr>
              <w:t>Recording policy</w:t>
            </w:r>
          </w:p>
        </w:tc>
        <w:tc>
          <w:tcPr>
            <w:tcW w:type="dxa" w:w="1728"/>
            <w:vAlign w:val="center"/>
          </w:tcPr>
          <w:p>
            <w:r/>
            <w:r>
              <w:rPr>
                <w:b w:val="0"/>
                <w:sz w:val="15"/>
              </w:rPr>
              <w:t>CONTROLLED OPEN</w:t>
            </w:r>
          </w:p>
        </w:tc>
        <w:tc>
          <w:tcPr>
            <w:tcW w:type="dxa" w:w="1728"/>
            <w:vAlign w:val="center"/>
          </w:tcPr>
          <w:p>
            <w:r/>
            <w:r>
              <w:rPr>
                <w:b w:val="0"/>
                <w:sz w:val="15"/>
              </w:rPr>
              <w:t>Medium/High — evidence/archive</w:t>
            </w:r>
          </w:p>
        </w:tc>
        <w:tc>
          <w:tcPr>
            <w:tcW w:type="dxa" w:w="1728"/>
            <w:vAlign w:val="center"/>
          </w:tcPr>
          <w:p>
            <w:r/>
            <w:r>
              <w:rPr>
                <w:b w:val="0"/>
                <w:sz w:val="15"/>
              </w:rPr>
              <w:t>Provider adapter can be designed; retention/ownership policy must be explicit.</w:t>
            </w:r>
          </w:p>
        </w:tc>
        <w:tc>
          <w:tcPr>
            <w:tcW w:type="dxa" w:w="1728"/>
            <w:vAlign w:val="center"/>
          </w:tcPr>
          <w:p>
            <w:r/>
            <w:r>
              <w:rPr>
                <w:b w:val="0"/>
                <w:sz w:val="15"/>
              </w:rPr>
              <w:t>Session recording policy gate</w:t>
            </w:r>
          </w:p>
        </w:tc>
        <w:tc>
          <w:tcPr>
            <w:tcW w:type="dxa" w:w="1728"/>
            <w:vAlign w:val="center"/>
          </w:tcPr>
          <w:p>
            <w:r/>
            <w:r>
              <w:rPr>
                <w:b w:val="0"/>
                <w:sz w:val="15"/>
              </w:rPr>
              <w:t>MEDIUM</w:t>
            </w:r>
          </w:p>
        </w:tc>
      </w:tr>
      <w:tr>
        <w:tc>
          <w:tcPr>
            <w:tcW w:type="dxa" w:w="1728"/>
            <w:vAlign w:val="center"/>
          </w:tcPr>
          <w:p>
            <w:r/>
            <w:r>
              <w:rPr>
                <w:b w:val="0"/>
                <w:sz w:val="15"/>
              </w:rPr>
              <w:t>AEP3-OD-02 Authority/Scope cardinality</w:t>
            </w:r>
          </w:p>
        </w:tc>
        <w:tc>
          <w:tcPr>
            <w:tcW w:type="dxa" w:w="1728"/>
            <w:vAlign w:val="center"/>
          </w:tcPr>
          <w:p>
            <w:r/>
            <w:r>
              <w:rPr>
                <w:b w:val="0"/>
                <w:sz w:val="15"/>
              </w:rPr>
              <w:t>OPEN / CONTROLLED</w:t>
            </w:r>
          </w:p>
        </w:tc>
        <w:tc>
          <w:tcPr>
            <w:tcW w:type="dxa" w:w="1728"/>
            <w:vAlign w:val="center"/>
          </w:tcPr>
          <w:p>
            <w:r/>
            <w:r>
              <w:rPr>
                <w:b w:val="0"/>
                <w:sz w:val="15"/>
              </w:rPr>
              <w:t>High — authority/RLS physical schema</w:t>
            </w:r>
          </w:p>
        </w:tc>
        <w:tc>
          <w:tcPr>
            <w:tcW w:type="dxa" w:w="1728"/>
            <w:vAlign w:val="center"/>
          </w:tcPr>
          <w:p>
            <w:r/>
            <w:r>
              <w:rPr>
                <w:b w:val="0"/>
                <w:sz w:val="15"/>
              </w:rPr>
              <w:t>Semantic design yes; final FK/cardinality no.</w:t>
            </w:r>
          </w:p>
        </w:tc>
        <w:tc>
          <w:tcPr>
            <w:tcW w:type="dxa" w:w="1728"/>
            <w:vAlign w:val="center"/>
          </w:tcPr>
          <w:p>
            <w:r/>
            <w:r>
              <w:rPr>
                <w:b w:val="0"/>
                <w:sz w:val="15"/>
              </w:rPr>
              <w:t>Physical Authority/RLS design gate</w:t>
            </w:r>
          </w:p>
        </w:tc>
        <w:tc>
          <w:tcPr>
            <w:tcW w:type="dxa" w:w="1728"/>
            <w:vAlign w:val="center"/>
          </w:tcPr>
          <w:p>
            <w:r/>
            <w:r>
              <w:rPr>
                <w:b w:val="0"/>
                <w:sz w:val="15"/>
              </w:rPr>
              <w:t>HIGH</w:t>
            </w:r>
          </w:p>
        </w:tc>
      </w:tr>
      <w:tr>
        <w:tc>
          <w:tcPr>
            <w:tcW w:type="dxa" w:w="1728"/>
            <w:vAlign w:val="center"/>
          </w:tcPr>
          <w:p>
            <w:r/>
            <w:r>
              <w:rPr>
                <w:b w:val="0"/>
                <w:sz w:val="15"/>
              </w:rPr>
              <w:t>AEP3-OD-03 Lifecycle/Appeal storage</w:t>
            </w:r>
          </w:p>
        </w:tc>
        <w:tc>
          <w:tcPr>
            <w:tcW w:type="dxa" w:w="1728"/>
            <w:vAlign w:val="center"/>
          </w:tcPr>
          <w:p>
            <w:r/>
            <w:r>
              <w:rPr>
                <w:b w:val="0"/>
                <w:sz w:val="15"/>
              </w:rPr>
              <w:t>OPEN / CONTROLLED</w:t>
            </w:r>
          </w:p>
        </w:tc>
        <w:tc>
          <w:tcPr>
            <w:tcW w:type="dxa" w:w="1728"/>
            <w:vAlign w:val="center"/>
          </w:tcPr>
          <w:p>
            <w:r/>
            <w:r>
              <w:rPr>
                <w:b w:val="0"/>
                <w:sz w:val="15"/>
              </w:rPr>
              <w:t>Medium — historical integrity</w:t>
            </w:r>
          </w:p>
        </w:tc>
        <w:tc>
          <w:tcPr>
            <w:tcW w:type="dxa" w:w="1728"/>
            <w:vAlign w:val="center"/>
          </w:tcPr>
          <w:p>
            <w:r/>
            <w:r>
              <w:rPr>
                <w:b w:val="0"/>
                <w:sz w:val="15"/>
              </w:rPr>
              <w:t>Alternatives/test cases yes; final storage choice later.</w:t>
            </w:r>
          </w:p>
        </w:tc>
        <w:tc>
          <w:tcPr>
            <w:tcW w:type="dxa" w:w="1728"/>
            <w:vAlign w:val="center"/>
          </w:tcPr>
          <w:p>
            <w:r/>
            <w:r>
              <w:rPr>
                <w:b w:val="0"/>
                <w:sz w:val="15"/>
              </w:rPr>
              <w:t>Awarding engineering gate</w:t>
            </w:r>
          </w:p>
        </w:tc>
        <w:tc>
          <w:tcPr>
            <w:tcW w:type="dxa" w:w="1728"/>
            <w:vAlign w:val="center"/>
          </w:tcPr>
          <w:p>
            <w:r/>
            <w:r>
              <w:rPr>
                <w:b w:val="0"/>
                <w:sz w:val="15"/>
              </w:rPr>
              <w:t>MEDIUM</w:t>
            </w:r>
          </w:p>
        </w:tc>
      </w:tr>
      <w:tr>
        <w:tc>
          <w:tcPr>
            <w:tcW w:type="dxa" w:w="1728"/>
            <w:vAlign w:val="center"/>
          </w:tcPr>
          <w:p>
            <w:r/>
            <w:r>
              <w:rPr>
                <w:b w:val="0"/>
                <w:sz w:val="15"/>
              </w:rPr>
              <w:t>AEP3-OD-04 Rule lineage cardinality</w:t>
            </w:r>
          </w:p>
        </w:tc>
        <w:tc>
          <w:tcPr>
            <w:tcW w:type="dxa" w:w="1728"/>
            <w:vAlign w:val="center"/>
          </w:tcPr>
          <w:p>
            <w:r/>
            <w:r>
              <w:rPr>
                <w:b w:val="0"/>
                <w:sz w:val="15"/>
              </w:rPr>
              <w:t>OPEN / CONTROLLED</w:t>
            </w:r>
          </w:p>
        </w:tc>
        <w:tc>
          <w:tcPr>
            <w:tcW w:type="dxa" w:w="1728"/>
            <w:vAlign w:val="center"/>
          </w:tcPr>
          <w:p>
            <w:r/>
            <w:r>
              <w:rPr>
                <w:b w:val="0"/>
                <w:sz w:val="15"/>
              </w:rPr>
              <w:t>Medium — provenance</w:t>
            </w:r>
          </w:p>
        </w:tc>
        <w:tc>
          <w:tcPr>
            <w:tcW w:type="dxa" w:w="1728"/>
            <w:vAlign w:val="center"/>
          </w:tcPr>
          <w:p>
            <w:r/>
            <w:r>
              <w:rPr>
                <w:b w:val="0"/>
                <w:sz w:val="15"/>
              </w:rPr>
              <w:t>Provenance contract yes; final cardinality later.</w:t>
            </w:r>
          </w:p>
        </w:tc>
        <w:tc>
          <w:tcPr>
            <w:tcW w:type="dxa" w:w="1728"/>
            <w:vAlign w:val="center"/>
          </w:tcPr>
          <w:p>
            <w:r/>
            <w:r>
              <w:rPr>
                <w:b w:val="0"/>
                <w:sz w:val="15"/>
              </w:rPr>
              <w:t>Awarding schema gate</w:t>
            </w:r>
          </w:p>
        </w:tc>
        <w:tc>
          <w:tcPr>
            <w:tcW w:type="dxa" w:w="1728"/>
            <w:vAlign w:val="center"/>
          </w:tcPr>
          <w:p>
            <w:r/>
            <w:r>
              <w:rPr>
                <w:b w:val="0"/>
                <w:sz w:val="15"/>
              </w:rPr>
              <w:t>MEDIUM</w:t>
            </w:r>
          </w:p>
        </w:tc>
      </w:tr>
      <w:tr>
        <w:tc>
          <w:tcPr>
            <w:tcW w:type="dxa" w:w="1728"/>
            <w:vAlign w:val="center"/>
          </w:tcPr>
          <w:p>
            <w:r/>
            <w:r>
              <w:rPr>
                <w:b w:val="0"/>
                <w:sz w:val="15"/>
              </w:rPr>
              <w:t>AEP3-OD-05 Temporal semantics</w:t>
            </w:r>
          </w:p>
        </w:tc>
        <w:tc>
          <w:tcPr>
            <w:tcW w:type="dxa" w:w="1728"/>
            <w:vAlign w:val="center"/>
          </w:tcPr>
          <w:p>
            <w:r/>
            <w:r>
              <w:rPr>
                <w:b w:val="0"/>
                <w:sz w:val="15"/>
              </w:rPr>
              <w:t>OPEN / CONTROLLED</w:t>
            </w:r>
          </w:p>
        </w:tc>
        <w:tc>
          <w:tcPr>
            <w:tcW w:type="dxa" w:w="1728"/>
            <w:vAlign w:val="center"/>
          </w:tcPr>
          <w:p>
            <w:r/>
            <w:r>
              <w:rPr>
                <w:b w:val="0"/>
                <w:sz w:val="15"/>
              </w:rPr>
              <w:t>Medium — version interpretation</w:t>
            </w:r>
          </w:p>
        </w:tc>
        <w:tc>
          <w:tcPr>
            <w:tcW w:type="dxa" w:w="1728"/>
            <w:vAlign w:val="center"/>
          </w:tcPr>
          <w:p>
            <w:r/>
            <w:r>
              <w:rPr>
                <w:b w:val="0"/>
                <w:sz w:val="15"/>
              </w:rPr>
              <w:t>Do not invent effective-date invariants.</w:t>
            </w:r>
          </w:p>
        </w:tc>
        <w:tc>
          <w:tcPr>
            <w:tcW w:type="dxa" w:w="1728"/>
            <w:vAlign w:val="center"/>
          </w:tcPr>
          <w:p>
            <w:r/>
            <w:r>
              <w:rPr>
                <w:b w:val="0"/>
                <w:sz w:val="15"/>
              </w:rPr>
              <w:t>Awarding governance/engineering gate</w:t>
            </w:r>
          </w:p>
        </w:tc>
        <w:tc>
          <w:tcPr>
            <w:tcW w:type="dxa" w:w="1728"/>
            <w:vAlign w:val="center"/>
          </w:tcPr>
          <w:p>
            <w:r/>
            <w:r>
              <w:rPr>
                <w:b w:val="0"/>
                <w:sz w:val="15"/>
              </w:rPr>
              <w:t>MEDIUM</w:t>
            </w:r>
          </w:p>
        </w:tc>
      </w:tr>
      <w:tr>
        <w:tc>
          <w:tcPr>
            <w:tcW w:type="dxa" w:w="1728"/>
            <w:vAlign w:val="center"/>
          </w:tcPr>
          <w:p>
            <w:r/>
            <w:r>
              <w:rPr>
                <w:b w:val="0"/>
                <w:sz w:val="15"/>
              </w:rPr>
              <w:t>Commercial MBR-001–013 evidence mapping</w:t>
            </w:r>
          </w:p>
        </w:tc>
        <w:tc>
          <w:tcPr>
            <w:tcW w:type="dxa" w:w="1728"/>
            <w:vAlign w:val="center"/>
          </w:tcPr>
          <w:p>
            <w:r/>
            <w:r>
              <w:rPr>
                <w:b w:val="0"/>
                <w:sz w:val="15"/>
              </w:rPr>
              <w:t>EVIDENCE GAP / CONTROLLED</w:t>
            </w:r>
          </w:p>
        </w:tc>
        <w:tc>
          <w:tcPr>
            <w:tcW w:type="dxa" w:w="1728"/>
            <w:vAlign w:val="center"/>
          </w:tcPr>
          <w:p>
            <w:r/>
            <w:r>
              <w:rPr>
                <w:b w:val="0"/>
                <w:sz w:val="15"/>
              </w:rPr>
              <w:t>Medium — commercial enforcement</w:t>
            </w:r>
          </w:p>
        </w:tc>
        <w:tc>
          <w:tcPr>
            <w:tcW w:type="dxa" w:w="1728"/>
            <w:vAlign w:val="center"/>
          </w:tcPr>
          <w:p>
            <w:r/>
            <w:r>
              <w:rPr>
                <w:b w:val="0"/>
                <w:sz w:val="15"/>
              </w:rPr>
              <w:t>Do not infer missing rule mappings.</w:t>
            </w:r>
          </w:p>
        </w:tc>
        <w:tc>
          <w:tcPr>
            <w:tcW w:type="dxa" w:w="1728"/>
            <w:vAlign w:val="center"/>
          </w:tcPr>
          <w:p>
            <w:r/>
            <w:r>
              <w:rPr>
                <w:b w:val="0"/>
                <w:sz w:val="15"/>
              </w:rPr>
              <w:t>Commercial evidence closure</w:t>
            </w:r>
          </w:p>
        </w:tc>
        <w:tc>
          <w:tcPr>
            <w:tcW w:type="dxa" w:w="1728"/>
            <w:vAlign w:val="center"/>
          </w:tcPr>
          <w:p>
            <w:r/>
            <w:r>
              <w:rPr>
                <w:b w:val="0"/>
                <w:sz w:val="15"/>
              </w:rPr>
              <w:t>MEDIUM</w:t>
            </w:r>
          </w:p>
        </w:tc>
      </w:tr>
      <w:tr>
        <w:tc>
          <w:tcPr>
            <w:tcW w:type="dxa" w:w="1728"/>
            <w:vAlign w:val="center"/>
          </w:tcPr>
          <w:p>
            <w:r/>
            <w:r>
              <w:rPr>
                <w:b w:val="0"/>
                <w:sz w:val="15"/>
              </w:rPr>
              <w:t>OPEN-C01 provenance relationship</w:t>
            </w:r>
          </w:p>
        </w:tc>
        <w:tc>
          <w:tcPr>
            <w:tcW w:type="dxa" w:w="1728"/>
            <w:vAlign w:val="center"/>
          </w:tcPr>
          <w:p>
            <w:r/>
            <w:r>
              <w:rPr>
                <w:b w:val="0"/>
                <w:sz w:val="15"/>
              </w:rPr>
              <w:t>OPEN / NON-BLOCKING</w:t>
            </w:r>
          </w:p>
        </w:tc>
        <w:tc>
          <w:tcPr>
            <w:tcW w:type="dxa" w:w="1728"/>
            <w:vAlign w:val="center"/>
          </w:tcPr>
          <w:p>
            <w:r/>
            <w:r>
              <w:rPr>
                <w:b w:val="0"/>
                <w:sz w:val="15"/>
              </w:rPr>
              <w:t>Low/Medium</w:t>
            </w:r>
          </w:p>
        </w:tc>
        <w:tc>
          <w:tcPr>
            <w:tcW w:type="dxa" w:w="1728"/>
            <w:vAlign w:val="center"/>
          </w:tcPr>
          <w:p>
            <w:r/>
            <w:r>
              <w:rPr>
                <w:b w:val="0"/>
                <w:sz w:val="15"/>
              </w:rPr>
              <w:t>Can be documented as residual.</w:t>
            </w:r>
          </w:p>
        </w:tc>
        <w:tc>
          <w:tcPr>
            <w:tcW w:type="dxa" w:w="1728"/>
            <w:vAlign w:val="center"/>
          </w:tcPr>
          <w:p>
            <w:r/>
            <w:r>
              <w:rPr>
                <w:b w:val="0"/>
                <w:sz w:val="15"/>
              </w:rPr>
              <w:t>Governance cleanup</w:t>
            </w:r>
          </w:p>
        </w:tc>
        <w:tc>
          <w:tcPr>
            <w:tcW w:type="dxa" w:w="1728"/>
            <w:vAlign w:val="center"/>
          </w:tcPr>
          <w:p>
            <w:r/>
            <w:r>
              <w:rPr>
                <w:b w:val="0"/>
                <w:sz w:val="15"/>
              </w:rPr>
              <w:t>LOW</w:t>
            </w:r>
          </w:p>
        </w:tc>
      </w:tr>
      <w:tr>
        <w:tc>
          <w:tcPr>
            <w:tcW w:type="dxa" w:w="1728"/>
            <w:vAlign w:val="center"/>
          </w:tcPr>
          <w:p>
            <w:r/>
            <w:r>
              <w:rPr>
                <w:b w:val="0"/>
                <w:sz w:val="15"/>
              </w:rPr>
              <w:t>Provider account/connection readiness</w:t>
            </w:r>
          </w:p>
        </w:tc>
        <w:tc>
          <w:tcPr>
            <w:tcW w:type="dxa" w:w="1728"/>
            <w:vAlign w:val="center"/>
          </w:tcPr>
          <w:p>
            <w:r/>
            <w:r>
              <w:rPr>
                <w:b w:val="0"/>
                <w:sz w:val="15"/>
              </w:rPr>
              <w:t>CAPABILITY VERIFIED WITH CONDITIONS</w:t>
            </w:r>
          </w:p>
        </w:tc>
        <w:tc>
          <w:tcPr>
            <w:tcW w:type="dxa" w:w="1728"/>
            <w:vAlign w:val="center"/>
          </w:tcPr>
          <w:p>
            <w:r/>
            <w:r>
              <w:rPr>
                <w:b w:val="0"/>
                <w:sz w:val="15"/>
              </w:rPr>
              <w:t>High for production</w:t>
            </w:r>
          </w:p>
        </w:tc>
        <w:tc>
          <w:tcPr>
            <w:tcW w:type="dxa" w:w="1728"/>
            <w:vAlign w:val="center"/>
          </w:tcPr>
          <w:p>
            <w:r/>
            <w:r>
              <w:rPr>
                <w:b w:val="0"/>
                <w:sz w:val="15"/>
              </w:rPr>
              <w:t>Adapter contract can proceed; actual account authorization/plan procurement separate.</w:t>
            </w:r>
          </w:p>
        </w:tc>
        <w:tc>
          <w:tcPr>
            <w:tcW w:type="dxa" w:w="1728"/>
            <w:vAlign w:val="center"/>
          </w:tcPr>
          <w:p>
            <w:r/>
            <w:r>
              <w:rPr>
                <w:b w:val="0"/>
                <w:sz w:val="15"/>
              </w:rPr>
              <w:t>Production provider readiness gate</w:t>
            </w:r>
          </w:p>
        </w:tc>
        <w:tc>
          <w:tcPr>
            <w:tcW w:type="dxa" w:w="1728"/>
            <w:vAlign w:val="center"/>
          </w:tcPr>
          <w:p>
            <w:r/>
            <w:r>
              <w:rPr>
                <w:b w:val="0"/>
                <w:sz w:val="15"/>
              </w:rPr>
              <w:t>HIGH</w:t>
            </w:r>
          </w:p>
        </w:tc>
      </w:tr>
      <w:tr>
        <w:tc>
          <w:tcPr>
            <w:tcW w:type="dxa" w:w="1728"/>
            <w:vAlign w:val="center"/>
          </w:tcPr>
          <w:p>
            <w:r/>
            <w:r>
              <w:rPr>
                <w:b w:val="0"/>
                <w:sz w:val="15"/>
              </w:rPr>
              <w:t>Final permission IDs / physical RBAC catalogue</w:t>
            </w:r>
          </w:p>
        </w:tc>
        <w:tc>
          <w:tcPr>
            <w:tcW w:type="dxa" w:w="1728"/>
            <w:vAlign w:val="center"/>
          </w:tcPr>
          <w:p>
            <w:r/>
            <w:r>
              <w:rPr>
                <w:b w:val="0"/>
                <w:sz w:val="15"/>
              </w:rPr>
              <w:t>DEFERRED</w:t>
            </w:r>
          </w:p>
        </w:tc>
        <w:tc>
          <w:tcPr>
            <w:tcW w:type="dxa" w:w="1728"/>
            <w:vAlign w:val="center"/>
          </w:tcPr>
          <w:p>
            <w:r/>
            <w:r>
              <w:rPr>
                <w:b w:val="0"/>
                <w:sz w:val="15"/>
              </w:rPr>
              <w:t>High — authorization implementation</w:t>
            </w:r>
          </w:p>
        </w:tc>
        <w:tc>
          <w:tcPr>
            <w:tcW w:type="dxa" w:w="1728"/>
            <w:vAlign w:val="center"/>
          </w:tcPr>
          <w:p>
            <w:r/>
            <w:r>
              <w:rPr>
                <w:b w:val="0"/>
                <w:sz w:val="15"/>
              </w:rPr>
              <w:t>Semantic RBAC can proceed; IDs/cardinality not final.</w:t>
            </w:r>
          </w:p>
        </w:tc>
        <w:tc>
          <w:tcPr>
            <w:tcW w:type="dxa" w:w="1728"/>
            <w:vAlign w:val="center"/>
          </w:tcPr>
          <w:p>
            <w:r/>
            <w:r>
              <w:rPr>
                <w:b w:val="0"/>
                <w:sz w:val="15"/>
              </w:rPr>
              <w:t>RBAC reconciliation gate</w:t>
            </w:r>
          </w:p>
        </w:tc>
        <w:tc>
          <w:tcPr>
            <w:tcW w:type="dxa" w:w="1728"/>
            <w:vAlign w:val="center"/>
          </w:tcPr>
          <w:p>
            <w:r/>
            <w:r>
              <w:rPr>
                <w:b w:val="0"/>
                <w:sz w:val="15"/>
              </w:rPr>
              <w:t>HIGH</w:t>
            </w:r>
          </w:p>
        </w:tc>
      </w:tr>
    </w:tbl>
    <w:p>
      <w:pPr>
        <w:pStyle w:val="Heading1"/>
      </w:pPr>
      <w:r>
        <w:t>5. Implementation Readiness Layers</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D9EAF7"/>
          </w:tcPr>
          <w:p>
            <w:r/>
            <w:r>
              <w:rPr>
                <w:b/>
                <w:sz w:val="15"/>
              </w:rPr>
              <w:t>Layer</w:t>
            </w:r>
          </w:p>
        </w:tc>
        <w:tc>
          <w:tcPr>
            <w:tcW w:type="dxa" w:w="2592"/>
            <w:vAlign w:val="center"/>
            <w:shd w:fill="D9EAF7"/>
          </w:tcPr>
          <w:p>
            <w:r/>
            <w:r>
              <w:rPr>
                <w:b/>
                <w:sz w:val="15"/>
              </w:rPr>
              <w:t>Status</w:t>
            </w:r>
          </w:p>
        </w:tc>
        <w:tc>
          <w:tcPr>
            <w:tcW w:type="dxa" w:w="2592"/>
            <w:vAlign w:val="center"/>
            <w:shd w:fill="D9EAF7"/>
          </w:tcPr>
          <w:p>
            <w:r/>
            <w:r>
              <w:rPr>
                <w:b/>
                <w:sz w:val="15"/>
              </w:rPr>
              <w:t>Allowed</w:t>
            </w:r>
          </w:p>
        </w:tc>
        <w:tc>
          <w:tcPr>
            <w:tcW w:type="dxa" w:w="2592"/>
            <w:vAlign w:val="center"/>
            <w:shd w:fill="D9EAF7"/>
          </w:tcPr>
          <w:p>
            <w:r/>
            <w:r>
              <w:rPr>
                <w:b/>
                <w:sz w:val="15"/>
              </w:rPr>
              <w:t>Not Allowed</w:t>
            </w:r>
          </w:p>
        </w:tc>
      </w:tr>
      <w:tr>
        <w:tc>
          <w:tcPr>
            <w:tcW w:type="dxa" w:w="2592"/>
            <w:vAlign w:val="center"/>
          </w:tcPr>
          <w:p>
            <w:r/>
            <w:r>
              <w:rPr>
                <w:b w:val="0"/>
                <w:sz w:val="15"/>
              </w:rPr>
              <w:t>Semantic architecture</w:t>
            </w:r>
          </w:p>
        </w:tc>
        <w:tc>
          <w:tcPr>
            <w:tcW w:type="dxa" w:w="2592"/>
            <w:vAlign w:val="center"/>
          </w:tcPr>
          <w:p>
            <w:r/>
            <w:r>
              <w:rPr>
                <w:b w:val="0"/>
                <w:sz w:val="15"/>
              </w:rPr>
              <w:t>PASS</w:t>
            </w:r>
          </w:p>
        </w:tc>
        <w:tc>
          <w:tcPr>
            <w:tcW w:type="dxa" w:w="2592"/>
            <w:vAlign w:val="center"/>
          </w:tcPr>
          <w:p>
            <w:r/>
            <w:r>
              <w:rPr>
                <w:b w:val="0"/>
                <w:sz w:val="15"/>
              </w:rPr>
              <w:t>Use governing AEP decisions as canonical semantics.</w:t>
            </w:r>
          </w:p>
        </w:tc>
        <w:tc>
          <w:tcPr>
            <w:tcW w:type="dxa" w:w="2592"/>
            <w:vAlign w:val="center"/>
          </w:tcPr>
          <w:p>
            <w:r/>
            <w:r>
              <w:rPr>
                <w:b w:val="0"/>
                <w:sz w:val="15"/>
              </w:rPr>
              <w:t>Reopen approved AEP decisions without evidence.</w:t>
            </w:r>
          </w:p>
        </w:tc>
      </w:tr>
      <w:tr>
        <w:tc>
          <w:tcPr>
            <w:tcW w:type="dxa" w:w="2592"/>
            <w:vAlign w:val="center"/>
          </w:tcPr>
          <w:p>
            <w:r/>
            <w:r>
              <w:rPr>
                <w:b w:val="0"/>
                <w:sz w:val="15"/>
              </w:rPr>
              <w:t>Logical technical design</w:t>
            </w:r>
          </w:p>
        </w:tc>
        <w:tc>
          <w:tcPr>
            <w:tcW w:type="dxa" w:w="2592"/>
            <w:vAlign w:val="center"/>
          </w:tcPr>
          <w:p>
            <w:r/>
            <w:r>
              <w:rPr>
                <w:b w:val="0"/>
                <w:sz w:val="15"/>
              </w:rPr>
              <w:t>PASS WITH HOLDS</w:t>
            </w:r>
          </w:p>
        </w:tc>
        <w:tc>
          <w:tcPr>
            <w:tcW w:type="dxa" w:w="2592"/>
            <w:vAlign w:val="center"/>
          </w:tcPr>
          <w:p>
            <w:r/>
            <w:r>
              <w:rPr>
                <w:b w:val="0"/>
                <w:sz w:val="15"/>
              </w:rPr>
              <w:t>Define service boundaries, adapter contracts, test scenarios, implementation-neutral models.</w:t>
            </w:r>
          </w:p>
        </w:tc>
        <w:tc>
          <w:tcPr>
            <w:tcW w:type="dxa" w:w="2592"/>
            <w:vAlign w:val="center"/>
          </w:tcPr>
          <w:p>
            <w:r/>
            <w:r>
              <w:rPr>
                <w:b w:val="0"/>
                <w:sz w:val="15"/>
              </w:rPr>
              <w:t>Invent physical cardinality where governance is open.</w:t>
            </w:r>
          </w:p>
        </w:tc>
      </w:tr>
      <w:tr>
        <w:tc>
          <w:tcPr>
            <w:tcW w:type="dxa" w:w="2592"/>
            <w:vAlign w:val="center"/>
          </w:tcPr>
          <w:p>
            <w:r/>
            <w:r>
              <w:rPr>
                <w:b w:val="0"/>
                <w:sz w:val="15"/>
              </w:rPr>
              <w:t>Physical schema/API/RBAC design</w:t>
            </w:r>
          </w:p>
        </w:tc>
        <w:tc>
          <w:tcPr>
            <w:tcW w:type="dxa" w:w="2592"/>
            <w:vAlign w:val="center"/>
          </w:tcPr>
          <w:p>
            <w:r/>
            <w:r>
              <w:rPr>
                <w:b w:val="0"/>
                <w:sz w:val="15"/>
              </w:rPr>
              <w:t>CONDITIONAL</w:t>
            </w:r>
          </w:p>
        </w:tc>
        <w:tc>
          <w:tcPr>
            <w:tcW w:type="dxa" w:w="2592"/>
            <w:vAlign w:val="center"/>
          </w:tcPr>
          <w:p>
            <w:r/>
            <w:r>
              <w:rPr>
                <w:b w:val="0"/>
                <w:sz w:val="15"/>
              </w:rPr>
              <w:t>Draft alternatives and impact matrices; reconcile dependencies.</w:t>
            </w:r>
          </w:p>
        </w:tc>
        <w:tc>
          <w:tcPr>
            <w:tcW w:type="dxa" w:w="2592"/>
            <w:vAlign w:val="center"/>
          </w:tcPr>
          <w:p>
            <w:r/>
            <w:r>
              <w:rPr>
                <w:b w:val="0"/>
                <w:sz w:val="15"/>
              </w:rPr>
              <w:t>Lock migrations, final IDs, final FK/RLS without required gates.</w:t>
            </w:r>
          </w:p>
        </w:tc>
      </w:tr>
      <w:tr>
        <w:tc>
          <w:tcPr>
            <w:tcW w:type="dxa" w:w="2592"/>
            <w:vAlign w:val="center"/>
          </w:tcPr>
          <w:p>
            <w:r/>
            <w:r>
              <w:rPr>
                <w:b w:val="0"/>
                <w:sz w:val="15"/>
              </w:rPr>
              <w:t>Production integration</w:t>
            </w:r>
          </w:p>
        </w:tc>
        <w:tc>
          <w:tcPr>
            <w:tcW w:type="dxa" w:w="2592"/>
            <w:vAlign w:val="center"/>
          </w:tcPr>
          <w:p>
            <w:r/>
            <w:r>
              <w:rPr>
                <w:b w:val="0"/>
                <w:sz w:val="15"/>
              </w:rPr>
              <w:t>HOLD</w:t>
            </w:r>
          </w:p>
        </w:tc>
        <w:tc>
          <w:tcPr>
            <w:tcW w:type="dxa" w:w="2592"/>
            <w:vAlign w:val="center"/>
          </w:tcPr>
          <w:p>
            <w:r/>
            <w:r>
              <w:rPr>
                <w:b w:val="0"/>
                <w:sz w:val="15"/>
              </w:rPr>
              <w:t>Capability research, sandbox/test planning, connection requirements.</w:t>
            </w:r>
          </w:p>
        </w:tc>
        <w:tc>
          <w:tcPr>
            <w:tcW w:type="dxa" w:w="2592"/>
            <w:vAlign w:val="center"/>
          </w:tcPr>
          <w:p>
            <w:r/>
            <w:r>
              <w:rPr>
                <w:b w:val="0"/>
                <w:sz w:val="15"/>
              </w:rPr>
              <w:t>Activate providers/payments in production.</w:t>
            </w:r>
          </w:p>
        </w:tc>
      </w:tr>
      <w:tr>
        <w:tc>
          <w:tcPr>
            <w:tcW w:type="dxa" w:w="2592"/>
            <w:vAlign w:val="center"/>
          </w:tcPr>
          <w:p>
            <w:r/>
            <w:r>
              <w:rPr>
                <w:b w:val="0"/>
                <w:sz w:val="15"/>
              </w:rPr>
              <w:t>Migration execution</w:t>
            </w:r>
          </w:p>
        </w:tc>
        <w:tc>
          <w:tcPr>
            <w:tcW w:type="dxa" w:w="2592"/>
            <w:vAlign w:val="center"/>
          </w:tcPr>
          <w:p>
            <w:r/>
            <w:r>
              <w:rPr>
                <w:b w:val="0"/>
                <w:sz w:val="15"/>
              </w:rPr>
              <w:t>HOLD</w:t>
            </w:r>
          </w:p>
        </w:tc>
        <w:tc>
          <w:tcPr>
            <w:tcW w:type="dxa" w:w="2592"/>
            <w:vAlign w:val="center"/>
          </w:tcPr>
          <w:p>
            <w:r/>
            <w:r>
              <w:rPr>
                <w:b w:val="0"/>
                <w:sz w:val="15"/>
              </w:rPr>
              <w:t>Dry-run analysis, rollback planning, migration review.</w:t>
            </w:r>
          </w:p>
        </w:tc>
        <w:tc>
          <w:tcPr>
            <w:tcW w:type="dxa" w:w="2592"/>
            <w:vAlign w:val="center"/>
          </w:tcPr>
          <w:p>
            <w:r/>
            <w:r>
              <w:rPr>
                <w:b w:val="0"/>
                <w:sz w:val="15"/>
              </w:rPr>
              <w:t>Execute SQL against production/current live DB.</w:t>
            </w:r>
          </w:p>
        </w:tc>
      </w:tr>
    </w:tbl>
    <w:p>
      <w:pPr>
        <w:pStyle w:val="Heading1"/>
      </w:pPr>
      <w:r>
        <w:t>6. Technical Design Rules Now Locked</w:t>
      </w:r>
    </w:p>
    <w:p>
      <w:pPr>
        <w:pStyle w:val="ListBullet"/>
      </w:pPr>
      <w:r>
        <w:t>Learning Session is the semantic authority; M05 Event remains calendar/presentation/integration context.</w:t>
      </w:r>
    </w:p>
    <w:p>
      <w:pPr>
        <w:pStyle w:val="ListBullet"/>
      </w:pPr>
      <w:r>
        <w:t>Session Enrollment is distinct from Course Enrollment and Event Registration.</w:t>
      </w:r>
    </w:p>
    <w:p>
      <w:pPr>
        <w:pStyle w:val="ListBullet"/>
      </w:pPr>
      <w:r>
        <w:t>Provider Session ID is external provider identity; semantic Session ID remains owned by RumahAgen.</w:t>
      </w:r>
    </w:p>
    <w:p>
      <w:pPr>
        <w:pStyle w:val="ListBullet"/>
      </w:pPr>
      <w:r>
        <w:t>Provider Adapter isolates provider-specific APIs, credentials, events and lifecycle.</w:t>
      </w:r>
    </w:p>
    <w:p>
      <w:pPr>
        <w:pStyle w:val="ListBullet"/>
      </w:pPr>
      <w:r>
        <w:t>Provider selection may be configured per Session from an approved/connected provider set; Admin/authorized Host may select within scope.</w:t>
      </w:r>
    </w:p>
    <w:p>
      <w:pPr>
        <w:pStyle w:val="ListBullet"/>
      </w:pPr>
      <w:r>
        <w:t>Instructor does not automatically receive Host/provider-bind/switch capability.</w:t>
      </w:r>
    </w:p>
    <w:p>
      <w:pPr>
        <w:pStyle w:val="ListBullet"/>
      </w:pPr>
      <w:r>
        <w:t>Provider credentials remain infrastructure/adapter controlled.</w:t>
      </w:r>
    </w:p>
    <w:p>
      <w:pPr>
        <w:pStyle w:val="ListBullet"/>
      </w:pPr>
      <w:r>
        <w:t>Provider events do not directly create LP, Credential, Skill or Award; evidence must pass validation/normalization/correlation/idempotency and domain policy.</w:t>
      </w:r>
    </w:p>
    <w:p>
      <w:pPr>
        <w:pStyle w:val="ListBullet"/>
      </w:pPr>
      <w:r>
        <w:t>Course/Module completion is a Learning Activity boundary under MADCR-049.</w:t>
      </w:r>
    </w:p>
    <w:p>
      <w:pPr>
        <w:pStyle w:val="ListBullet"/>
      </w:pPr>
      <w:r>
        <w:t>Learning Activity completion is the reward boundary; Learning Economy owns LP transaction/reward processing.</w:t>
      </w:r>
    </w:p>
    <w:p>
      <w:pPr>
        <w:pStyle w:val="ListBullet"/>
      </w:pPr>
      <w:r>
        <w:t>RBAC authorization and data scope/RLS remain separate.</w:t>
      </w:r>
    </w:p>
    <w:p>
      <w:pPr>
        <w:pStyle w:val="ListBullet"/>
      </w:pPr>
      <w:r>
        <w:t>Historical Award and learning evidence must remain explainable after configuration/provider changes.</w:t>
      </w:r>
    </w:p>
    <w:p>
      <w:pPr>
        <w:pStyle w:val="Heading1"/>
      </w:pPr>
      <w:r>
        <w:t>7. Physical Design Work Package That May Start</w:t>
      </w:r>
    </w:p>
    <w:p>
      <w:pPr>
        <w:pStyle w:val="ListBullet"/>
      </w:pPr>
      <w:r>
        <w:t>Session/Provider logical-to-physical impact matrix, including Provider Connection and Provider Selection Scope.</w:t>
      </w:r>
    </w:p>
    <w:p>
      <w:pPr>
        <w:pStyle w:val="ListBullet"/>
      </w:pPr>
      <w:r>
        <w:t>RBAC reconciliation matrix using MADCR-053/054 semantics, without inventing final permission IDs.</w:t>
      </w:r>
    </w:p>
    <w:p>
      <w:pPr>
        <w:pStyle w:val="ListBullet"/>
      </w:pPr>
      <w:r>
        <w:t>Learning Activity/Course completion impact based on MADCR-049.</w:t>
      </w:r>
    </w:p>
    <w:p>
      <w:pPr>
        <w:pStyle w:val="ListBullet"/>
      </w:pPr>
      <w:r>
        <w:t>Authority/Scope physical alternatives for AEP3-OD-02, with explicit cardinality options and evidence requirements.</w:t>
      </w:r>
    </w:p>
    <w:p>
      <w:pPr>
        <w:pStyle w:val="ListBullet"/>
      </w:pPr>
      <w:r>
        <w:t>Award lifecycle, appeal and lineage implementation alternatives with historical-integrity tests.</w:t>
      </w:r>
    </w:p>
    <w:p>
      <w:pPr>
        <w:pStyle w:val="ListBullet"/>
      </w:pPr>
      <w:r>
        <w:t>Provider adapter contracts and provider-specific capability test suites.</w:t>
      </w:r>
    </w:p>
    <w:p>
      <w:pPr>
        <w:pStyle w:val="ListBullet"/>
      </w:pPr>
      <w:r>
        <w:t>Migration dry-run and rollback plan for approved downstream deltas.</w:t>
      </w:r>
    </w:p>
    <w:p>
      <w:pPr>
        <w:pStyle w:val="Heading1"/>
      </w:pPr>
      <w:r>
        <w:t>8. Work That Must Still Wait</w:t>
      </w:r>
    </w:p>
    <w:p>
      <w:pPr>
        <w:pStyle w:val="ListBullet"/>
      </w:pPr>
      <w:r>
        <w:t>Production database migration.</w:t>
      </w:r>
    </w:p>
    <w:p>
      <w:pPr>
        <w:pStyle w:val="ListBullet"/>
      </w:pPr>
      <w:r>
        <w:t>Final physical Authority/Scope cardinality and RLS policy.</w:t>
      </w:r>
    </w:p>
    <w:p>
      <w:pPr>
        <w:pStyle w:val="ListBullet"/>
      </w:pPr>
      <w:r>
        <w:t>Final permission IDs and role-permission migration.</w:t>
      </w:r>
    </w:p>
    <w:p>
      <w:pPr>
        <w:pStyle w:val="ListBullet"/>
      </w:pPr>
      <w:r>
        <w:t>Mandatory automatic provider failover.</w:t>
      </w:r>
    </w:p>
    <w:p>
      <w:pPr>
        <w:pStyle w:val="ListBullet"/>
      </w:pPr>
      <w:r>
        <w:t>Production provider activation/account binding.</w:t>
      </w:r>
    </w:p>
    <w:p>
      <w:pPr>
        <w:pStyle w:val="ListBullet"/>
      </w:pPr>
      <w:r>
        <w:t>Final attendance/recording/capacity policy where source remains open.</w:t>
      </w:r>
    </w:p>
    <w:p>
      <w:pPr>
        <w:pStyle w:val="ListBullet"/>
      </w:pPr>
      <w:r>
        <w:t>Any implementation that silently closes AEP3 OD-02…05 or AEP4-OD-08.</w:t>
      </w:r>
    </w:p>
    <w:p>
      <w:pPr>
        <w:pStyle w:val="Heading1"/>
      </w:pPr>
      <w:r>
        <w:t>9. Recommended Execution Sequence</w:t>
      </w:r>
    </w:p>
    <w:p>
      <w:pPr>
        <w:pStyle w:val="ListNumber"/>
      </w:pPr>
      <w:r>
        <w:t>Gate T1 — Close independent technical/product residuals: Session↔Event, attendance, capacity, visibility, recording.</w:t>
      </w:r>
    </w:p>
    <w:p>
      <w:pPr>
        <w:pStyle w:val="ListNumber"/>
      </w:pPr>
      <w:r>
        <w:t>Gate T2 — Physical authorization design: Authority/Scope + RBAC reconciliation.</w:t>
      </w:r>
    </w:p>
    <w:p>
      <w:pPr>
        <w:pStyle w:val="ListNumber"/>
      </w:pPr>
      <w:r>
        <w:t>Gate T3 — Awarding physical design: lifecycle/appeal, lineage, temporal semantics as required.</w:t>
      </w:r>
    </w:p>
    <w:p>
      <w:pPr>
        <w:pStyle w:val="ListNumber"/>
      </w:pPr>
      <w:r>
        <w:t>Gate T4 — Provider production-readiness: account connection, OAuth, plan/feature, webhook/event, recording and operational tests.</w:t>
      </w:r>
    </w:p>
    <w:p>
      <w:pPr>
        <w:pStyle w:val="ListNumber"/>
      </w:pPr>
      <w:r>
        <w:t>Gate T5 — Final Technical Execution Authorization.</w:t>
      </w:r>
    </w:p>
    <w:p>
      <w:pPr>
        <w:pStyle w:val="ListNumber"/>
      </w:pPr>
      <w:r>
        <w:t>Gate T6 — Migration dry-run → review → controlled execution.</w:t>
      </w:r>
    </w:p>
    <w:p>
      <w:pPr>
        <w:pStyle w:val="ListNumber"/>
      </w:pPr>
      <w:r>
        <w:t>Gate T7 — Production provider/payment activation only after explicit release authorization.</w:t>
      </w:r>
    </w:p>
    <w:p>
      <w:pPr>
        <w:pStyle w:val="Heading1"/>
      </w:pPr>
      <w:r>
        <w:t>10. New Open Decision Assessment</w:t>
      </w:r>
    </w:p>
    <w:p>
      <w:r>
        <w:rPr>
          <w:b/>
        </w:rPr>
        <w:t>No new user Open Decision is required at this gate.</w:t>
      </w:r>
    </w:p>
    <w:p>
      <w:r>
        <w:t>The remaining items are already identified in the source corpus or are implementation-level residuals. If T1 reveals a true semantic conflict rather than a physical/design gap, I will stop the affected workstream and raise a focused decision.</w:t>
      </w:r>
    </w:p>
    <w:p>
      <w:pPr>
        <w:pStyle w:val="Heading1"/>
      </w:pPr>
      <w:r>
        <w:t>11. Final Gate Statement</w:t>
      </w:r>
    </w:p>
    <w:p>
      <w:r>
        <w:rPr>
          <w:b/>
        </w:rPr>
        <w:t>TECHNICAL EXECUTION PACKAGE = READY FOR CONTROLLED TECHNICAL DESIGN; NOT READY FOR PHYSICAL EXECUTION.</w:t>
      </w:r>
    </w:p>
    <w:p>
      <w:r>
        <w:t>The project can now move from broad architecture synchronization into controlled technical design. The correct next activity is not another AEP synchronization and not immediate coding. It is T1 residual closure plus implementation-neutral physical design.</w:t>
      </w:r>
    </w:p>
    <w:p>
      <w:pPr>
        <w:pStyle w:val="Heading1"/>
      </w:pPr>
      <w:r>
        <w:t>12. Artifact Control</w:t>
      </w:r>
    </w:p>
    <w:p>
      <w:r>
        <w:t>This package is a gate artifact. It does not replace historical AEP documents, ADR/MADCR records, or the current baseline. It records the current execution state after explicit user decisions in this conversation and preserves older archive states as historical evidence.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