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TECH-01</w:t>
      </w:r>
    </w:p>
    <w:p>
      <w:pPr>
        <w:jc w:val="center"/>
      </w:pPr>
      <w:r>
        <w:rPr>
          <w:i/>
          <w:sz w:val="20"/>
        </w:rPr>
        <w:t>Independent Technical/Product Residual Closure | Version 1.0 | 16 August 2026</w:t>
      </w:r>
    </w:p>
    <w:p>
      <w:r>
        <w:rPr>
          <w:b/>
        </w:rPr>
        <w:t xml:space="preserve">Status: </w:t>
      </w:r>
      <w:r>
        <w:t>CLOSED WITH CONTROLLED RESIDUALS</w:t>
      </w:r>
    </w:p>
    <w:p>
      <w:r>
        <w:rPr>
          <w:b/>
        </w:rPr>
        <w:t xml:space="preserve">Purpose. </w:t>
      </w:r>
      <w:r>
        <w:t>Menutup residual technical/product yang secara eksplisit ditempatkan sebagai Gate T1 dalam Technical Execution Authorization Package, tanpa melakukan physical implementation, migration, production activation, atau menciptakan permission ID/cardinality yang belum governed.</w:t>
      </w:r>
    </w:p>
    <w:p>
      <w:pPr>
        <w:pStyle w:val="Heading1"/>
      </w:pPr>
      <w:r>
        <w:t>1. Source and Governance Basis</w:t>
      </w:r>
    </w:p>
    <w:p>
      <w:r>
        <w:t>TECH-01 menggunakan Technical Execution Authorization Package sebagai execution-gate source, AEP #4 decision artifacts sebagai semantic authority, serta keputusan user terbaru dalam execution thread sebagai current governing state. Historical artifacts yang masih menampilkan status lama diperlakukan sebagai historical evidence.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Source</w:t>
            </w:r>
          </w:p>
        </w:tc>
        <w:tc>
          <w:tcPr>
            <w:tcW w:type="dxa" w:w="5040"/>
            <w:shd w:fill="D9EAF7"/>
            <w:vAlign w:val="center"/>
          </w:tcPr>
          <w:p>
            <w:r>
              <w:rPr>
                <w:b/>
              </w:rPr>
              <w:t>Use</w:t>
            </w:r>
          </w:p>
        </w:tc>
      </w:tr>
      <w:tr>
        <w:tc>
          <w:tcPr>
            <w:tcW w:type="dxa" w:w="5040"/>
          </w:tcPr>
          <w:p>
            <w:r>
              <w:t>Technical Execution Authorization Package v1.0</w:t>
            </w:r>
          </w:p>
        </w:tc>
        <w:tc>
          <w:tcPr>
            <w:tcW w:type="dxa" w:w="5040"/>
          </w:tcPr>
          <w:p>
            <w:r>
              <w:t>Gate sequence, residual scope, implementation boundaries</w:t>
            </w:r>
          </w:p>
        </w:tc>
      </w:tr>
      <w:tr>
        <w:tc>
          <w:tcPr>
            <w:tcW w:type="dxa" w:w="5040"/>
          </w:tcPr>
          <w:p>
            <w:r>
              <w:t>AEP4 Step 02 Decision Log OD01–OD15</w:t>
            </w:r>
          </w:p>
        </w:tc>
        <w:tc>
          <w:tcPr>
            <w:tcW w:type="dxa" w:w="5040"/>
          </w:tcPr>
          <w:p>
            <w:r>
              <w:t>Session, attendance, recording, workspace/organization, visibility semantic boundaries</w:t>
            </w:r>
          </w:p>
        </w:tc>
      </w:tr>
      <w:tr>
        <w:tc>
          <w:tcPr>
            <w:tcW w:type="dxa" w:w="5040"/>
          </w:tcPr>
          <w:p>
            <w:r>
              <w:t>AEP4 ERD Logical Reconciliation</w:t>
            </w:r>
          </w:p>
        </w:tc>
        <w:tc>
          <w:tcPr>
            <w:tcW w:type="dxa" w:w="5040"/>
          </w:tcPr>
          <w:p>
            <w:r>
              <w:t>Session/Event separation, Session Enrollment, downstream residuals</w:t>
            </w:r>
          </w:p>
        </w:tc>
      </w:tr>
      <w:tr>
        <w:tc>
          <w:tcPr>
            <w:tcW w:type="dxa" w:w="5040"/>
          </w:tcPr>
          <w:p>
            <w:r>
              <w:t>MADCR-053 Decision Brief / current governance</w:t>
            </w:r>
          </w:p>
        </w:tc>
        <w:tc>
          <w:tcPr>
            <w:tcW w:type="dxa" w:w="5040"/>
          </w:tcPr>
          <w:p>
            <w:r>
              <w:t>Authorization and scope boundary; exact IDs remain downstream</w:t>
            </w:r>
          </w:p>
        </w:tc>
      </w:tr>
      <w:tr>
        <w:tc>
          <w:tcPr>
            <w:tcW w:type="dxa" w:w="5040"/>
          </w:tcPr>
          <w:p>
            <w:r>
              <w:t>MADCR-054 Formal Decision Closure</w:t>
            </w:r>
          </w:p>
        </w:tc>
        <w:tc>
          <w:tcPr>
            <w:tcW w:type="dxa" w:w="5040"/>
          </w:tcPr>
          <w:p>
            <w:r>
              <w:t>Host ≠ Instructor; explicit authorization boundary</w:t>
            </w:r>
          </w:p>
        </w:tc>
      </w:tr>
    </w:tbl>
    <w:p/>
    <w:p>
      <w:pPr>
        <w:pStyle w:val="Heading1"/>
      </w:pPr>
      <w:r>
        <w:t>2. TECH-01 Scope</w:t>
      </w:r>
    </w:p>
    <w:p>
      <w:r>
        <w:t>The gate covers five independent residuals: Session↔Event relationship, attendance policy, capacity policy, visibility taxonomy, and recording policy.</w:t>
      </w:r>
    </w:p>
    <w:p>
      <w:r>
        <w:t>It does not close AEP4-OD-08 automatic provider failover, physical RBAC/RLS, final physical Session↔Event cardinality, or provider production readiness.</w:t>
      </w:r>
    </w:p>
    <w:p>
      <w:pPr>
        <w:pStyle w:val="Heading1"/>
      </w:pPr>
      <w:r>
        <w:t>3. Decisions Closed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Item</w:t>
            </w:r>
          </w:p>
        </w:tc>
        <w:tc>
          <w:tcPr>
            <w:tcW w:type="dxa" w:w="2520"/>
            <w:shd w:fill="D9EAF7"/>
            <w:vAlign w:val="center"/>
          </w:tcPr>
          <w:p>
            <w:r>
              <w:rPr>
                <w:b/>
              </w:rPr>
              <w:t>User Decision</w:t>
            </w:r>
          </w:p>
        </w:tc>
        <w:tc>
          <w:tcPr>
            <w:tcW w:type="dxa" w:w="2520"/>
            <w:shd w:fill="D9EAF7"/>
            <w:vAlign w:val="center"/>
          </w:tcPr>
          <w:p>
            <w:r>
              <w:rPr>
                <w:b/>
              </w:rPr>
              <w:t>Current Result</w:t>
            </w:r>
          </w:p>
        </w:tc>
        <w:tc>
          <w:tcPr>
            <w:tcW w:type="dxa" w:w="2520"/>
            <w:shd w:fill="D9EAF7"/>
            <w:vAlign w:val="center"/>
          </w:tcPr>
          <w:p>
            <w:r>
              <w:rPr>
                <w:b/>
              </w:rPr>
              <w:t>Implementation Boundary</w:t>
            </w:r>
          </w:p>
        </w:tc>
      </w:tr>
      <w:tr>
        <w:tc>
          <w:tcPr>
            <w:tcW w:type="dxa" w:w="2520"/>
          </w:tcPr>
          <w:p>
            <w:r>
              <w:t>Attendance</w:t>
            </w:r>
          </w:p>
        </w:tc>
        <w:tc>
          <w:tcPr>
            <w:tcW w:type="dxa" w:w="2520"/>
          </w:tcPr>
          <w:p>
            <w:r>
              <w:t>C — Hybrid</w:t>
            </w:r>
          </w:p>
        </w:tc>
        <w:tc>
          <w:tcPr>
            <w:tcW w:type="dxa" w:w="2520"/>
          </w:tcPr>
          <w:p>
            <w:r>
              <w:t>APPROVED</w:t>
            </w:r>
          </w:p>
        </w:tc>
        <w:tc>
          <w:tcPr>
            <w:tcW w:type="dxa" w:w="2520"/>
          </w:tcPr>
          <w:p>
            <w:r>
              <w:t>Exact thresholds, grace, checkpoints, overrides remain configuration/business-rule detail.</w:t>
            </w:r>
          </w:p>
        </w:tc>
      </w:tr>
      <w:tr>
        <w:tc>
          <w:tcPr>
            <w:tcW w:type="dxa" w:w="2520"/>
          </w:tcPr>
          <w:p>
            <w:r>
              <w:t>Capacity</w:t>
            </w:r>
          </w:p>
        </w:tc>
        <w:tc>
          <w:tcPr>
            <w:tcW w:type="dxa" w:w="2520"/>
          </w:tcPr>
          <w:p>
            <w:r>
              <w:t>C — Configurable per Session Type</w:t>
            </w:r>
          </w:p>
        </w:tc>
        <w:tc>
          <w:tcPr>
            <w:tcW w:type="dxa" w:w="2520"/>
          </w:tcPr>
          <w:p>
            <w:r>
              <w:t>APPROVED</w:t>
            </w:r>
          </w:p>
        </w:tc>
        <w:tc>
          <w:tcPr>
            <w:tcW w:type="dxa" w:w="2520"/>
          </w:tcPr>
          <w:p>
            <w:r>
              <w:t>Exact fields/defaults/enforcement remain physical/API design.</w:t>
            </w:r>
          </w:p>
        </w:tc>
      </w:tr>
      <w:tr>
        <w:tc>
          <w:tcPr>
            <w:tcW w:type="dxa" w:w="2520"/>
          </w:tcPr>
          <w:p>
            <w:r>
              <w:t>Visibility</w:t>
            </w:r>
          </w:p>
        </w:tc>
        <w:tc>
          <w:tcPr>
            <w:tcW w:type="dxa" w:w="2520"/>
          </w:tcPr>
          <w:p>
            <w:r>
              <w:t>PUBLIC / ORGANIZATION / PARTNER / PRIVATE</w:t>
            </w:r>
          </w:p>
        </w:tc>
        <w:tc>
          <w:tcPr>
            <w:tcW w:type="dxa" w:w="2520"/>
          </w:tcPr>
          <w:p>
            <w:r>
              <w:t>APPROVED</w:t>
            </w:r>
          </w:p>
        </w:tc>
        <w:tc>
          <w:tcPr>
            <w:tcW w:type="dxa" w:w="2520"/>
          </w:tcPr>
          <w:p>
            <w:r>
              <w:t>Exact RBAC/RLS and organization/partner cardinality remain downstream.</w:t>
            </w:r>
          </w:p>
        </w:tc>
      </w:tr>
      <w:tr>
        <w:tc>
          <w:tcPr>
            <w:tcW w:type="dxa" w:w="2520"/>
          </w:tcPr>
          <w:p>
            <w:r>
              <w:t>Recording</w:t>
            </w:r>
          </w:p>
        </w:tc>
        <w:tc>
          <w:tcPr>
            <w:tcW w:type="dxa" w:w="2520"/>
          </w:tcPr>
          <w:p>
            <w:r>
              <w:t>A — Provider-hosted / reference-first</w:t>
            </w:r>
          </w:p>
        </w:tc>
        <w:tc>
          <w:tcPr>
            <w:tcW w:type="dxa" w:w="2520"/>
          </w:tcPr>
          <w:p>
            <w:r>
              <w:t>APPROVED</w:t>
            </w:r>
          </w:p>
        </w:tc>
        <w:tc>
          <w:tcPr>
            <w:tcW w:type="dxa" w:w="2520"/>
          </w:tcPr>
          <w:p>
            <w:r>
              <w:t>Retention/privacy/replay details remain recording/product policy; no default RumahAgen video infrastructure.</w:t>
            </w:r>
          </w:p>
        </w:tc>
      </w:tr>
    </w:tbl>
    <w:p/>
    <w:p>
      <w:pPr>
        <w:pStyle w:val="Heading1"/>
      </w:pPr>
      <w:r>
        <w:t>4. Attendance — Hybrid Policy Boundary</w:t>
      </w:r>
    </w:p>
    <w:p>
      <w:r>
        <w:t>The approved model is hybrid: qualifying duration may be combined with milestones/checkpoints and governed exceptions. This is a semantic policy model, not a numeric threshold decision.</w:t>
      </w:r>
    </w:p>
    <w:p>
      <w:r>
        <w:t>Canonical boundary: provider participation evidence → validation/normalization/idempotency → RumahAgen attendance evaluation → governed completion policy. Provider events do not directly establish attendance or completion.</w:t>
      </w:r>
    </w:p>
    <w:p>
      <w:r>
        <w:t>Controlled residuals: minimum percentage, late join, early leave, grace period, reconnect handling, instructor/admin override, and audit/evidence requirements.</w:t>
      </w:r>
    </w:p>
    <w:p>
      <w:pPr>
        <w:pStyle w:val="Heading1"/>
      </w:pPr>
      <w:r>
        <w:t>5. Capacity — Configurable per Session Type</w:t>
      </w:r>
    </w:p>
    <w:p>
      <w:r>
        <w:t>Capacity is a Learning Session policy/configuration, not a reuse of M05 Event quota. The model is configurable by Session Type: BROADCAST and INTERACTIVE may have configurable capacity; ON_DEMAND does not represent a live participant-capacity constraint.</w:t>
      </w:r>
    </w:p>
    <w:p>
      <w:r>
        <w:t>Exact physical representation and enforcement point remain downstream.</w:t>
      </w:r>
    </w:p>
    <w:p>
      <w:pPr>
        <w:pStyle w:val="Heading1"/>
      </w:pPr>
      <w:r>
        <w:t>6. Visibility — Semantic Boundary</w:t>
      </w:r>
    </w:p>
    <w:p>
      <w:r>
        <w:t>Visibility answers intended audience/access scope and is distinct from RBAC authorization. The user approved the semantic classes PUBLIC, ORGANIZATION, PARTNER, PRIVATE.</w:t>
      </w:r>
    </w:p>
    <w:p>
      <w:r>
        <w:t>ORGANIZATION refers to the existing Workspace/Organization authority context; it does not create a new Learning-specific organization entity. Visibility does not itself grant action permissions and does not bypass Commercial Entitlement for paid access.</w:t>
      </w:r>
    </w:p>
    <w:p>
      <w:r>
        <w:t>Exact authorization, RLS, membership evaluation, cross-organization behavior, and persistence are TECH-02/downstream concerns.</w:t>
      </w:r>
    </w:p>
    <w:p>
      <w:pPr>
        <w:pStyle w:val="Heading1"/>
      </w:pPr>
      <w:r>
        <w:t>7. Recording — Provider-Hosted / Reference-First</w:t>
      </w:r>
    </w:p>
    <w:p>
      <w:r>
        <w:t>Recording is an optional Session artifact/reference, separate from attendance and completion authority. Default technical direction is provider-hosted/reference-first: RumahAgen stores controlled metadata/reference rather than becoming the default video-streaming/storage infrastructure.</w:t>
      </w:r>
    </w:p>
    <w:p>
      <w:r>
        <w:t>Recording may support ON_DEMAND, but a recording is not itself attendance, completion, credential, or award evidence authority.</w:t>
      </w:r>
    </w:p>
    <w:p>
      <w:pPr>
        <w:pStyle w:val="Heading1"/>
      </w:pPr>
      <w:r>
        <w:t>8. Session ↔ Event Boundary</w:t>
      </w:r>
    </w:p>
    <w:p>
      <w:r>
        <w:t>Semantic result: Learning Session is the semantic authority; M05 Event remains calendar/presentation/discovery/integration context. Session Enrollment remains distinct from Event Registration.</w:t>
      </w:r>
    </w:p>
    <w:p>
      <w:r>
        <w:t>Physical cardinality/ownership remains deferred until physical schema/API design has sufficient evidence. No FK/cardinality is invented by TECH-01.</w:t>
      </w:r>
    </w:p>
    <w:p>
      <w:pPr>
        <w:pStyle w:val="Heading1"/>
      </w:pPr>
      <w:r>
        <w:t>9. Residuals Preserved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Residual</w:t>
            </w:r>
          </w:p>
        </w:tc>
        <w:tc>
          <w:tcPr>
            <w:tcW w:type="dxa" w:w="3360"/>
            <w:shd w:fill="D9EAF7"/>
            <w:vAlign w:val="center"/>
          </w:tcPr>
          <w:p>
            <w:r>
              <w:rPr>
                <w:b/>
              </w:rPr>
              <w:t>Status</w:t>
            </w:r>
          </w:p>
        </w:tc>
        <w:tc>
          <w:tcPr>
            <w:tcW w:type="dxa" w:w="3360"/>
            <w:shd w:fill="D9EAF7"/>
            <w:vAlign w:val="center"/>
          </w:tcPr>
          <w:p>
            <w:r>
              <w:rPr>
                <w:b/>
              </w:rPr>
              <w:t>Treatment</w:t>
            </w:r>
          </w:p>
        </w:tc>
      </w:tr>
      <w:tr>
        <w:tc>
          <w:tcPr>
            <w:tcW w:type="dxa" w:w="3360"/>
          </w:tcPr>
          <w:p>
            <w:r>
              <w:t>AEP4-OD-08 Automatic Provider Failover</w:t>
            </w:r>
          </w:p>
        </w:tc>
        <w:tc>
          <w:tcPr>
            <w:tcW w:type="dxa" w:w="3360"/>
          </w:tcPr>
          <w:p>
            <w:r>
              <w:t>OPEN / DEFERRED</w:t>
            </w:r>
          </w:p>
        </w:tc>
        <w:tc>
          <w:tcPr>
            <w:tcW w:type="dxa" w:w="3360"/>
          </w:tcPr>
          <w:p>
            <w:r>
              <w:t>Separate technical/operational gate; not closed here.</w:t>
            </w:r>
          </w:p>
        </w:tc>
      </w:tr>
      <w:tr>
        <w:tc>
          <w:tcPr>
            <w:tcW w:type="dxa" w:w="3360"/>
          </w:tcPr>
          <w:p>
            <w:r>
              <w:t>Session↔Event physical cardinality</w:t>
            </w:r>
          </w:p>
        </w:tc>
        <w:tc>
          <w:tcPr>
            <w:tcW w:type="dxa" w:w="3360"/>
          </w:tcPr>
          <w:p>
            <w:r>
              <w:t>CONTROLLED OPEN</w:t>
            </w:r>
          </w:p>
        </w:tc>
        <w:tc>
          <w:tcPr>
            <w:tcW w:type="dxa" w:w="3360"/>
          </w:tcPr>
          <w:p>
            <w:r>
              <w:t>Resolve during physical design with evidence.</w:t>
            </w:r>
          </w:p>
        </w:tc>
      </w:tr>
      <w:tr>
        <w:tc>
          <w:tcPr>
            <w:tcW w:type="dxa" w:w="3360"/>
          </w:tcPr>
          <w:p>
            <w:r>
              <w:t>Exact attendance parameters</w:t>
            </w:r>
          </w:p>
        </w:tc>
        <w:tc>
          <w:tcPr>
            <w:tcW w:type="dxa" w:w="3360"/>
          </w:tcPr>
          <w:p>
            <w:r>
              <w:t>CONTROLLED</w:t>
            </w:r>
          </w:p>
        </w:tc>
        <w:tc>
          <w:tcPr>
            <w:tcW w:type="dxa" w:w="3360"/>
          </w:tcPr>
          <w:p>
            <w:r>
              <w:t>Configuration/BR and authorization audit detail.</w:t>
            </w:r>
          </w:p>
        </w:tc>
      </w:tr>
      <w:tr>
        <w:tc>
          <w:tcPr>
            <w:tcW w:type="dxa" w:w="3360"/>
          </w:tcPr>
          <w:p>
            <w:r>
              <w:t>Exact capacity fields/defaults</w:t>
            </w:r>
          </w:p>
        </w:tc>
        <w:tc>
          <w:tcPr>
            <w:tcW w:type="dxa" w:w="3360"/>
          </w:tcPr>
          <w:p>
            <w:r>
              <w:t>CONTROLLED</w:t>
            </w:r>
          </w:p>
        </w:tc>
        <w:tc>
          <w:tcPr>
            <w:tcW w:type="dxa" w:w="3360"/>
          </w:tcPr>
          <w:p>
            <w:r>
              <w:t>Downstream technical design.</w:t>
            </w:r>
          </w:p>
        </w:tc>
      </w:tr>
      <w:tr>
        <w:tc>
          <w:tcPr>
            <w:tcW w:type="dxa" w:w="3360"/>
          </w:tcPr>
          <w:p>
            <w:r>
              <w:t>Visibility RBAC/RLS mechanics</w:t>
            </w:r>
          </w:p>
        </w:tc>
        <w:tc>
          <w:tcPr>
            <w:tcW w:type="dxa" w:w="3360"/>
          </w:tcPr>
          <w:p>
            <w:r>
              <w:t>CONTROLLED</w:t>
            </w:r>
          </w:p>
        </w:tc>
        <w:tc>
          <w:tcPr>
            <w:tcW w:type="dxa" w:w="3360"/>
          </w:tcPr>
          <w:p>
            <w:r>
              <w:t>Proceed under TECH-02.</w:t>
            </w:r>
          </w:p>
        </w:tc>
      </w:tr>
      <w:tr>
        <w:tc>
          <w:tcPr>
            <w:tcW w:type="dxa" w:w="3360"/>
          </w:tcPr>
          <w:p>
            <w:r>
              <w:t>Recording retention/privacy/replay</w:t>
            </w:r>
          </w:p>
        </w:tc>
        <w:tc>
          <w:tcPr>
            <w:tcW w:type="dxa" w:w="3360"/>
          </w:tcPr>
          <w:p>
            <w:r>
              <w:t>CONTROLLED</w:t>
            </w:r>
          </w:p>
        </w:tc>
        <w:tc>
          <w:tcPr>
            <w:tcW w:type="dxa" w:w="3360"/>
          </w:tcPr>
          <w:p>
            <w:r>
              <w:t>Separate recording/media policy.</w:t>
            </w:r>
          </w:p>
        </w:tc>
      </w:tr>
    </w:tbl>
    <w:p/>
    <w:p>
      <w:pPr>
        <w:pStyle w:val="Heading1"/>
      </w:pPr>
      <w:r>
        <w:t>10. Gate Assessment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Criterion</w:t>
            </w:r>
          </w:p>
        </w:tc>
        <w:tc>
          <w:tcPr>
            <w:tcW w:type="dxa" w:w="5040"/>
            <w:shd w:fill="D9EAF7"/>
            <w:vAlign w:val="center"/>
          </w:tcPr>
          <w:p>
            <w:r>
              <w:rPr>
                <w:b/>
              </w:rPr>
              <w:t>Result</w:t>
            </w:r>
          </w:p>
        </w:tc>
      </w:tr>
      <w:tr>
        <w:tc>
          <w:tcPr>
            <w:tcW w:type="dxa" w:w="5040"/>
          </w:tcPr>
          <w:p>
            <w:r>
              <w:t>Semantic residual decisions</w:t>
            </w:r>
          </w:p>
        </w:tc>
        <w:tc>
          <w:tcPr>
            <w:tcW w:type="dxa" w:w="5040"/>
          </w:tcPr>
          <w:p>
            <w:r>
              <w:t>PASS</w:t>
            </w:r>
          </w:p>
        </w:tc>
      </w:tr>
      <w:tr>
        <w:tc>
          <w:tcPr>
            <w:tcW w:type="dxa" w:w="5040"/>
          </w:tcPr>
          <w:p>
            <w:r>
              <w:t>User decisions recorded without invention</w:t>
            </w:r>
          </w:p>
        </w:tc>
        <w:tc>
          <w:tcPr>
            <w:tcW w:type="dxa" w:w="5040"/>
          </w:tcPr>
          <w:p>
            <w:r>
              <w:t>PASS</w:t>
            </w:r>
          </w:p>
        </w:tc>
      </w:tr>
      <w:tr>
        <w:tc>
          <w:tcPr>
            <w:tcW w:type="dxa" w:w="5040"/>
          </w:tcPr>
          <w:p>
            <w:r>
              <w:t>Approved AEP/MADCR decisions reopened</w:t>
            </w:r>
          </w:p>
        </w:tc>
        <w:tc>
          <w:tcPr>
            <w:tcW w:type="dxa" w:w="5040"/>
          </w:tcPr>
          <w:p>
            <w:r>
              <w:t>NO</w:t>
            </w:r>
          </w:p>
        </w:tc>
      </w:tr>
      <w:tr>
        <w:tc>
          <w:tcPr>
            <w:tcW w:type="dxa" w:w="5040"/>
          </w:tcPr>
          <w:p>
            <w:r>
              <w:t>Physical implementation authorized</w:t>
            </w:r>
          </w:p>
        </w:tc>
        <w:tc>
          <w:tcPr>
            <w:tcW w:type="dxa" w:w="5040"/>
          </w:tcPr>
          <w:p>
            <w:r>
              <w:t>NO</w:t>
            </w:r>
          </w:p>
        </w:tc>
      </w:tr>
      <w:tr>
        <w:tc>
          <w:tcPr>
            <w:tcW w:type="dxa" w:w="5040"/>
          </w:tcPr>
          <w:p>
            <w:r>
              <w:t>Controlled residual visibility preserved</w:t>
            </w:r>
          </w:p>
        </w:tc>
        <w:tc>
          <w:tcPr>
            <w:tcW w:type="dxa" w:w="5040"/>
          </w:tcPr>
          <w:p>
            <w:r>
              <w:t>PASS</w:t>
            </w:r>
          </w:p>
        </w:tc>
      </w:tr>
      <w:tr>
        <w:tc>
          <w:tcPr>
            <w:tcW w:type="dxa" w:w="5040"/>
          </w:tcPr>
          <w:p>
            <w:r>
              <w:t>TECH-01 exit gate</w:t>
            </w:r>
          </w:p>
        </w:tc>
        <w:tc>
          <w:tcPr>
            <w:tcW w:type="dxa" w:w="5040"/>
          </w:tcPr>
          <w:p>
            <w:r>
              <w:t>CLOSED WITH CONTROLLED RESIDUALS</w:t>
            </w:r>
          </w:p>
        </w:tc>
      </w:tr>
    </w:tbl>
    <w:p/>
    <w:p>
      <w:pPr>
        <w:pStyle w:val="Heading1"/>
      </w:pPr>
      <w:r>
        <w:t>11. Next Action</w:t>
      </w:r>
    </w:p>
    <w:p>
      <w:r>
        <w:t>Proceed to TECH-02 — Visibility &amp; Authorization Scope Reconciliation. TECH-02 must use the approved visibility vocabulary while keeping visibility separate from RBAC, RLS, Commercial Entitlement, qualification, and awarding authority.</w:t>
      </w:r>
    </w:p>
    <w:p>
      <w:pPr>
        <w:pStyle w:val="Heading1"/>
      </w:pPr>
      <w:r>
        <w:t>12. Source Notes</w:t>
      </w:r>
    </w:p>
    <w:p>
      <w:r>
        <w:t>Current user decisions in this execution thread are treated as the latest governing state where later than archived AEP artifacts. Archived documents are retained as historical evidence and are not rewritten by this artifact.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