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RUMAHAGEN — TECH-02</w:t>
      </w:r>
    </w:p>
    <w:p>
      <w:pPr>
        <w:jc w:val="center"/>
      </w:pPr>
      <w:r>
        <w:rPr>
          <w:i/>
          <w:sz w:val="20"/>
        </w:rPr>
        <w:t>Visibility &amp; Authorization Scope Reconciliation | Version 1.0 | 16 August 2026</w:t>
      </w:r>
    </w:p>
    <w:p>
      <w:r>
        <w:rPr>
          <w:b/>
        </w:rPr>
        <w:t xml:space="preserve">Status: </w:t>
      </w:r>
      <w:r>
        <w:t>SEMANTIC DECISION CLOSED — PHYSICAL AUTHORIZATION DEFERRED</w:t>
      </w:r>
    </w:p>
    <w:p>
      <w:r>
        <w:rPr>
          <w:b/>
        </w:rPr>
        <w:t xml:space="preserve">Purpose. </w:t>
      </w:r>
      <w:r>
        <w:t>Menerjemahkan keputusan visibility user menjadi semantic authorization input yang dapat dipakai oleh downstream RBAC/RLS design, tanpa mengunci permission IDs, physical schema, RLS SQL, atau membership/cardinality yang belum menjadi scope gate.</w:t>
      </w:r>
    </w:p>
    <w:p>
      <w:pPr>
        <w:pStyle w:val="Heading1"/>
      </w:pPr>
      <w:r>
        <w:t>1. Governing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Current Governing Meaning</w:t>
            </w:r>
          </w:p>
        </w:tc>
      </w:tr>
      <w:tr>
        <w:tc>
          <w:tcPr>
            <w:tcW w:type="dxa" w:w="5040"/>
          </w:tcPr>
          <w:p>
            <w:r>
              <w:t>AEP4-OD-14</w:t>
            </w:r>
          </w:p>
        </w:tc>
        <w:tc>
          <w:tcPr>
            <w:tcW w:type="dxa" w:w="5040"/>
          </w:tcPr>
          <w:p>
            <w:r>
              <w:t>Workspace/organization context is part of Learning Session semantic context when applicable; authority/cardinality downstream.</w:t>
            </w:r>
          </w:p>
        </w:tc>
      </w:tr>
      <w:tr>
        <w:tc>
          <w:tcPr>
            <w:tcW w:type="dxa" w:w="5040"/>
          </w:tcPr>
          <w:p>
            <w:r>
              <w:t>AEP4-OD-15</w:t>
            </w:r>
          </w:p>
        </w:tc>
        <w:tc>
          <w:tcPr>
            <w:tcW w:type="dxa" w:w="5040"/>
          </w:tcPr>
          <w:p>
            <w:r>
              <w:t>Learning Session has semantic visibility/access scope; visibility is distinct from RBAC.</w:t>
            </w:r>
          </w:p>
        </w:tc>
      </w:tr>
      <w:tr>
        <w:tc>
          <w:tcPr>
            <w:tcW w:type="dxa" w:w="5040"/>
          </w:tcPr>
          <w:p>
            <w:r>
              <w:t>MADCR-053</w:t>
            </w:r>
          </w:p>
        </w:tc>
        <w:tc>
          <w:tcPr>
            <w:tcW w:type="dxa" w:w="5040"/>
          </w:tcPr>
          <w:p>
            <w:r>
              <w:t>Capability + Permission + Scope; Role is actor grouping; Entitlement and Qualification/Awarding Authority remain separate.</w:t>
            </w:r>
          </w:p>
        </w:tc>
      </w:tr>
      <w:tr>
        <w:tc>
          <w:tcPr>
            <w:tcW w:type="dxa" w:w="5040"/>
          </w:tcPr>
          <w:p>
            <w:r>
              <w:t>MADCR-054</w:t>
            </w:r>
          </w:p>
        </w:tc>
        <w:tc>
          <w:tcPr>
            <w:tcW w:type="dxa" w:w="5040"/>
          </w:tcPr>
          <w:p>
            <w:r>
              <w:t>Host and Instructor are separate capabilities; explicit authorization is required for dual capability.</w:t>
            </w:r>
          </w:p>
        </w:tc>
      </w:tr>
      <w:tr>
        <w:tc>
          <w:tcPr>
            <w:tcW w:type="dxa" w:w="5040"/>
          </w:tcPr>
          <w:p>
            <w:r>
              <w:t>User decision</w:t>
            </w:r>
          </w:p>
        </w:tc>
        <w:tc>
          <w:tcPr>
            <w:tcW w:type="dxa" w:w="5040"/>
          </w:tcPr>
          <w:p>
            <w:r>
              <w:t>Visibility semantic classes = PUBLIC / ORGANIZATION / PARTNER / PRIVATE.</w:t>
            </w:r>
          </w:p>
        </w:tc>
      </w:tr>
    </w:tbl>
    <w:p/>
    <w:p>
      <w:pPr>
        <w:pStyle w:val="Heading1"/>
      </w:pPr>
      <w:r>
        <w:t>2. Canonical Visibility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Semantic Meaning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What It Does Not Mean</w:t>
            </w:r>
          </w:p>
        </w:tc>
      </w:tr>
      <w:tr>
        <w:tc>
          <w:tcPr>
            <w:tcW w:type="dxa" w:w="3360"/>
          </w:tcPr>
          <w:p>
            <w:r>
              <w:t>PUBLIC</w:t>
            </w:r>
          </w:p>
        </w:tc>
        <w:tc>
          <w:tcPr>
            <w:tcW w:type="dxa" w:w="3360"/>
          </w:tcPr>
          <w:p>
            <w:r>
              <w:t>Session is intended for general audience/discovery subject to applicable enrollment/eligibility.</w:t>
            </w:r>
          </w:p>
        </w:tc>
        <w:tc>
          <w:tcPr>
            <w:tcW w:type="dxa" w:w="3360"/>
          </w:tcPr>
          <w:p>
            <w:r>
              <w:t>Does not bypass authentication, enrollment, entitlement, or action authorization where required.</w:t>
            </w:r>
          </w:p>
        </w:tc>
      </w:tr>
      <w:tr>
        <w:tc>
          <w:tcPr>
            <w:tcW w:type="dxa" w:w="3360"/>
          </w:tcPr>
          <w:p>
            <w:r>
              <w:t>ORGANIZATION</w:t>
            </w:r>
          </w:p>
        </w:tc>
        <w:tc>
          <w:tcPr>
            <w:tcW w:type="dxa" w:w="3360"/>
          </w:tcPr>
          <w:p>
            <w:r>
              <w:t>Session audience is scoped to an applicable RumahAgen Workspace/Organization context.</w:t>
            </w:r>
          </w:p>
        </w:tc>
        <w:tc>
          <w:tcPr>
            <w:tcW w:type="dxa" w:w="3360"/>
          </w:tcPr>
          <w:p>
            <w:r>
              <w:t>Does not automatically grant every member every session action; membership is not equivalent to permission.</w:t>
            </w:r>
          </w:p>
        </w:tc>
      </w:tr>
      <w:tr>
        <w:tc>
          <w:tcPr>
            <w:tcW w:type="dxa" w:w="3360"/>
          </w:tcPr>
          <w:p>
            <w:r>
              <w:t>PARTNER</w:t>
            </w:r>
          </w:p>
        </w:tc>
        <w:tc>
          <w:tcPr>
            <w:tcW w:type="dxa" w:w="3360"/>
          </w:tcPr>
          <w:p>
            <w:r>
              <w:t>Session audience is scoped to an applicable partner context.</w:t>
            </w:r>
          </w:p>
        </w:tc>
        <w:tc>
          <w:tcPr>
            <w:tcW w:type="dxa" w:w="3360"/>
          </w:tcPr>
          <w:p>
            <w:r>
              <w:t>Does not equate Partner context with internal Workspace/Organization or grant arbitrary provider authority.</w:t>
            </w:r>
          </w:p>
        </w:tc>
      </w:tr>
      <w:tr>
        <w:tc>
          <w:tcPr>
            <w:tcW w:type="dxa" w:w="3360"/>
          </w:tcPr>
          <w:p>
            <w:r>
              <w:t>PRIVATE</w:t>
            </w:r>
          </w:p>
        </w:tc>
        <w:tc>
          <w:tcPr>
            <w:tcW w:type="dxa" w:w="3360"/>
          </w:tcPr>
          <w:p>
            <w:r>
              <w:t>Session audience is restricted to explicitly governed actors/context.</w:t>
            </w:r>
          </w:p>
        </w:tc>
        <w:tc>
          <w:tcPr>
            <w:tcW w:type="dxa" w:w="3360"/>
          </w:tcPr>
          <w:p>
            <w:r>
              <w:t>Does not define the exact physical invitation/list mechanism by itself.</w:t>
            </w:r>
          </w:p>
        </w:tc>
      </w:tr>
    </w:tbl>
    <w:p/>
    <w:p>
      <w:pPr>
        <w:pStyle w:val="Heading1"/>
      </w:pPr>
      <w:r>
        <w:t>3. Workspace / Organization Interpretation</w:t>
      </w:r>
    </w:p>
    <w:p>
      <w:r>
        <w:t>ORGANIZATION uses the existing Workspace/Organization authority context. It is not a new Learning entity. Exact naming in physical schema may follow the canonical existing organization/workspace model; TECH-02 does not rename or duplicate that authority.</w:t>
      </w:r>
    </w:p>
    <w:p>
      <w:r>
        <w:t>Organization visibility means audience scope. It does not automatically mean organization-wide management authority, and it does not alter the separate RBAC/RLS model.</w:t>
      </w:r>
    </w:p>
    <w:p>
      <w:pPr>
        <w:pStyle w:val="Heading1"/>
      </w:pPr>
      <w:r>
        <w:t>4. Visibility vs Authorization vs Entitlement</w:t>
      </w:r>
    </w:p>
    <w:p>
      <w:r>
        <w:t>The three concepts remain explicitly separated:</w:t>
      </w:r>
    </w:p>
    <w:p>
      <w:r>
        <w:t>Visibility → who the Session is intended for / may be discoverable by.</w:t>
      </w:r>
    </w:p>
    <w:p>
      <w:r>
        <w:t>Authorization → what an authenticated actor is allowed to do on the Session/resource within applicable scope.</w:t>
      </w:r>
    </w:p>
    <w:p>
      <w:r>
        <w:t>Commercial Entitlement → whether a commercially governed access right exists where the Session is paid.</w:t>
      </w:r>
    </w:p>
    <w:p>
      <w:r>
        <w:t>Qualification/Awarding Authority → whether learning outcomes satisfy downstream qualification/award rules.</w:t>
      </w:r>
    </w:p>
    <w:p>
      <w:r>
        <w:t>Therefore: visibility cannot be used as a shortcut to grant permissions or paid access.</w:t>
      </w:r>
    </w:p>
    <w:p>
      <w:pPr>
        <w:pStyle w:val="Heading1"/>
      </w:pPr>
      <w:r>
        <w:t>5. Authorization Evaluation Flow</w:t>
      </w:r>
    </w:p>
    <w:p>
      <w:r>
        <w:t>1. Authenticate actor.</w:t>
      </w:r>
    </w:p>
    <w:p>
      <w:r>
        <w:t>2. Resolve eligibility and context.</w:t>
      </w:r>
    </w:p>
    <w:p>
      <w:r>
        <w:t>3. Resolve role/capability/permission under MADCR-053.</w:t>
      </w:r>
    </w:p>
    <w:p>
      <w:r>
        <w:t>4. Evaluate visibility and target-resource scope.</w:t>
      </w:r>
    </w:p>
    <w:p>
      <w:r>
        <w:t>5. Evaluate Commercial Entitlement where access is paid.</w:t>
      </w:r>
    </w:p>
    <w:p>
      <w:r>
        <w:t>6. Apply RLS/data-scope enforcement as the second layer.</w:t>
      </w:r>
    </w:p>
    <w:p>
      <w:r>
        <w:t>7. Authorize the requested operation.</w:t>
      </w:r>
    </w:p>
    <w:p>
      <w:r>
        <w:t>8. Only after authorization may provider/infrastructure operations occur.</w:t>
      </w:r>
    </w:p>
    <w:p>
      <w:pPr>
        <w:pStyle w:val="Heading1"/>
      </w:pPr>
      <w:r>
        <w:t>6. Visibility Matrix for Downstream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Visibility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Discovery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Enrollment/Access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Action Authority</w:t>
            </w:r>
          </w:p>
        </w:tc>
        <w:tc>
          <w:tcPr>
            <w:tcW w:type="dxa" w:w="2016"/>
            <w:shd w:fill="D9EAF7"/>
            <w:vAlign w:val="center"/>
          </w:tcPr>
          <w:p>
            <w:r>
              <w:rPr>
                <w:b/>
              </w:rPr>
              <w:t>RLS/Scope</w:t>
            </w:r>
          </w:p>
        </w:tc>
      </w:tr>
      <w:tr>
        <w:tc>
          <w:tcPr>
            <w:tcW w:type="dxa" w:w="2016"/>
          </w:tcPr>
          <w:p>
            <w:r>
              <w:t>PUBLIC</w:t>
            </w:r>
          </w:p>
        </w:tc>
        <w:tc>
          <w:tcPr>
            <w:tcW w:type="dxa" w:w="2016"/>
          </w:tcPr>
          <w:p>
            <w:r>
              <w:t>Generally discoverable</w:t>
            </w:r>
          </w:p>
        </w:tc>
        <w:tc>
          <w:tcPr>
            <w:tcW w:type="dxa" w:w="2016"/>
          </w:tcPr>
          <w:p>
            <w:r>
              <w:t>Still subject to applicable eligibility/enrollment/entitlement</w:t>
            </w:r>
          </w:p>
        </w:tc>
        <w:tc>
          <w:tcPr>
            <w:tcW w:type="dxa" w:w="2016"/>
          </w:tcPr>
          <w:p>
            <w:r>
              <w:t>Never implied by visibility</w:t>
            </w:r>
          </w:p>
        </w:tc>
        <w:tc>
          <w:tcPr>
            <w:tcW w:type="dxa" w:w="2016"/>
          </w:tcPr>
          <w:p>
            <w:r>
              <w:t>Public-read rules plus protected mutation scope</w:t>
            </w:r>
          </w:p>
        </w:tc>
      </w:tr>
      <w:tr>
        <w:tc>
          <w:tcPr>
            <w:tcW w:type="dxa" w:w="2016"/>
          </w:tcPr>
          <w:p>
            <w:r>
              <w:t>ORGANIZATION</w:t>
            </w:r>
          </w:p>
        </w:tc>
        <w:tc>
          <w:tcPr>
            <w:tcW w:type="dxa" w:w="2016"/>
          </w:tcPr>
          <w:p>
            <w:r>
              <w:t>Organization-scoped discovery</w:t>
            </w:r>
          </w:p>
        </w:tc>
        <w:tc>
          <w:tcPr>
            <w:tcW w:type="dxa" w:w="2016"/>
          </w:tcPr>
          <w:p>
            <w:r>
              <w:t>Organization membership/eligibility + applicable entitlement</w:t>
            </w:r>
          </w:p>
        </w:tc>
        <w:tc>
          <w:tcPr>
            <w:tcW w:type="dxa" w:w="2016"/>
          </w:tcPr>
          <w:p>
            <w:r>
              <w:t>Explicit permission + scope</w:t>
            </w:r>
          </w:p>
        </w:tc>
        <w:tc>
          <w:tcPr>
            <w:tcW w:type="dxa" w:w="2016"/>
          </w:tcPr>
          <w:p>
            <w:r>
              <w:t>Organization/tenant scope</w:t>
            </w:r>
          </w:p>
        </w:tc>
      </w:tr>
      <w:tr>
        <w:tc>
          <w:tcPr>
            <w:tcW w:type="dxa" w:w="2016"/>
          </w:tcPr>
          <w:p>
            <w:r>
              <w:t>PARTNER</w:t>
            </w:r>
          </w:p>
        </w:tc>
        <w:tc>
          <w:tcPr>
            <w:tcW w:type="dxa" w:w="2016"/>
          </w:tcPr>
          <w:p>
            <w:r>
              <w:t>Partner-scoped discovery</w:t>
            </w:r>
          </w:p>
        </w:tc>
        <w:tc>
          <w:tcPr>
            <w:tcW w:type="dxa" w:w="2016"/>
          </w:tcPr>
          <w:p>
            <w:r>
              <w:t>Partner eligibility + applicable access rule</w:t>
            </w:r>
          </w:p>
        </w:tc>
        <w:tc>
          <w:tcPr>
            <w:tcW w:type="dxa" w:w="2016"/>
          </w:tcPr>
          <w:p>
            <w:r>
              <w:t>Explicit permission + scope</w:t>
            </w:r>
          </w:p>
        </w:tc>
        <w:tc>
          <w:tcPr>
            <w:tcW w:type="dxa" w:w="2016"/>
          </w:tcPr>
          <w:p>
            <w:r>
              <w:t>Partner scope</w:t>
            </w:r>
          </w:p>
        </w:tc>
      </w:tr>
      <w:tr>
        <w:tc>
          <w:tcPr>
            <w:tcW w:type="dxa" w:w="2016"/>
          </w:tcPr>
          <w:p>
            <w:r>
              <w:t>PRIVATE</w:t>
            </w:r>
          </w:p>
        </w:tc>
        <w:tc>
          <w:tcPr>
            <w:tcW w:type="dxa" w:w="2016"/>
          </w:tcPr>
          <w:p>
            <w:r>
              <w:t>Restricted discovery</w:t>
            </w:r>
          </w:p>
        </w:tc>
        <w:tc>
          <w:tcPr>
            <w:tcW w:type="dxa" w:w="2016"/>
          </w:tcPr>
          <w:p>
            <w:r>
              <w:t>Explicitly governed eligibility/access</w:t>
            </w:r>
          </w:p>
        </w:tc>
        <w:tc>
          <w:tcPr>
            <w:tcW w:type="dxa" w:w="2016"/>
          </w:tcPr>
          <w:p>
            <w:r>
              <w:t>Explicit permission + scope</w:t>
            </w:r>
          </w:p>
        </w:tc>
        <w:tc>
          <w:tcPr>
            <w:tcW w:type="dxa" w:w="2016"/>
          </w:tcPr>
          <w:p>
            <w:r>
              <w:t>Specific-resource/private scope</w:t>
            </w:r>
          </w:p>
        </w:tc>
      </w:tr>
    </w:tbl>
    <w:p/>
    <w:p>
      <w:pPr>
        <w:pStyle w:val="Heading1"/>
      </w:pPr>
      <w:r>
        <w:t>7. Session Authority Implications</w:t>
      </w:r>
    </w:p>
    <w:p>
      <w:r>
        <w:t>Visibility management is a capability that must be explicitly authorized. Instructor does not automatically receive visibility-management authority. Host does not automatically receive organization-wide management authority. Provider credentials remain infrastructure/adapter controlled.</w:t>
      </w:r>
    </w:p>
    <w:p>
      <w:r>
        <w:t>This follows MADCR-054: Host ≠ Instructor; an actor may hold both only through explicit authorization.</w:t>
      </w:r>
    </w:p>
    <w:p>
      <w:pPr>
        <w:pStyle w:val="Heading1"/>
      </w:pPr>
      <w:r>
        <w:t>8. Physical Design Constraints</w:t>
      </w:r>
    </w:p>
    <w:p>
      <w:pPr>
        <w:pStyle w:val="ListBullet"/>
      </w:pPr>
      <w:r>
        <w:t>Do not create final permission IDs in TECH-02.</w:t>
      </w:r>
    </w:p>
    <w:p>
      <w:pPr>
        <w:pStyle w:val="ListBullet"/>
      </w:pPr>
      <w:r>
        <w:t>Do not create RLS SQL in TECH-02.</w:t>
      </w:r>
    </w:p>
    <w:p>
      <w:pPr>
        <w:pStyle w:val="ListBullet"/>
      </w:pPr>
      <w:r>
        <w:t>Do not assume organization membership equals Session authorization.</w:t>
      </w:r>
    </w:p>
    <w:p>
      <w:pPr>
        <w:pStyle w:val="ListBullet"/>
      </w:pPr>
      <w:r>
        <w:t>Do not infer Partner membership structure without source evidence.</w:t>
      </w:r>
    </w:p>
    <w:p>
      <w:pPr>
        <w:pStyle w:val="ListBullet"/>
      </w:pPr>
      <w:r>
        <w:t>Do not invent Session↔Organization or Session↔Partner cardinality.</w:t>
      </w:r>
    </w:p>
    <w:p>
      <w:pPr>
        <w:pStyle w:val="ListBullet"/>
      </w:pPr>
      <w:r>
        <w:t>Do not use client-supplied organization/resource scope as authorization proof.</w:t>
      </w:r>
    </w:p>
    <w:p>
      <w:pPr>
        <w:pStyle w:val="ListBullet"/>
      </w:pPr>
      <w:r>
        <w:t>Do not let visibility bypass Commercial Entitlement for paid Sessions.</w:t>
      </w:r>
    </w:p>
    <w:p>
      <w:pPr>
        <w:pStyle w:val="Heading1"/>
      </w:pPr>
      <w:r>
        <w:t>9. Open / Controlled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</w:rPr>
              <w:t>Next Gate</w:t>
            </w:r>
          </w:p>
        </w:tc>
      </w:tr>
      <w:tr>
        <w:tc>
          <w:tcPr>
            <w:tcW w:type="dxa" w:w="3360"/>
          </w:tcPr>
          <w:p>
            <w:r>
              <w:t>Semantic visibility classes</w:t>
            </w:r>
          </w:p>
        </w:tc>
        <w:tc>
          <w:tcPr>
            <w:tcW w:type="dxa" w:w="3360"/>
          </w:tcPr>
          <w:p>
            <w:r>
              <w:t>APPROVED</w:t>
            </w:r>
          </w:p>
        </w:tc>
        <w:tc>
          <w:tcPr>
            <w:tcW w:type="dxa" w:w="3360"/>
          </w:tcPr>
          <w:p>
            <w:r>
              <w:t>Use as canonical vocabulary.</w:t>
            </w:r>
          </w:p>
        </w:tc>
      </w:tr>
      <w:tr>
        <w:tc>
          <w:tcPr>
            <w:tcW w:type="dxa" w:w="3360"/>
          </w:tcPr>
          <w:p>
            <w:r>
              <w:t>Exact RBAC permission IDs</w:t>
            </w:r>
          </w:p>
        </w:tc>
        <w:tc>
          <w:tcPr>
            <w:tcW w:type="dxa" w:w="3360"/>
          </w:tcPr>
          <w:p>
            <w:r>
              <w:t>OPEN / DEFERRED</w:t>
            </w:r>
          </w:p>
        </w:tc>
        <w:tc>
          <w:tcPr>
            <w:tcW w:type="dxa" w:w="3360"/>
          </w:tcPr>
          <w:p>
            <w:r>
              <w:t>RBAC reconciliation under MADCR-053 downstream.</w:t>
            </w:r>
          </w:p>
        </w:tc>
      </w:tr>
      <w:tr>
        <w:tc>
          <w:tcPr>
            <w:tcW w:type="dxa" w:w="3360"/>
          </w:tcPr>
          <w:p>
            <w:r>
              <w:t>Organization membership/cardinality</w:t>
            </w:r>
          </w:p>
        </w:tc>
        <w:tc>
          <w:tcPr>
            <w:tcW w:type="dxa" w:w="3360"/>
          </w:tcPr>
          <w:p>
            <w:r>
              <w:t>CONTROLLED OPEN</w:t>
            </w:r>
          </w:p>
        </w:tc>
        <w:tc>
          <w:tcPr>
            <w:tcW w:type="dxa" w:w="3360"/>
          </w:tcPr>
          <w:p>
            <w:r>
              <w:t>Physical authority/scope design.</w:t>
            </w:r>
          </w:p>
        </w:tc>
      </w:tr>
      <w:tr>
        <w:tc>
          <w:tcPr>
            <w:tcW w:type="dxa" w:w="3360"/>
          </w:tcPr>
          <w:p>
            <w:r>
              <w:t>Partner authority/cardinality</w:t>
            </w:r>
          </w:p>
        </w:tc>
        <w:tc>
          <w:tcPr>
            <w:tcW w:type="dxa" w:w="3360"/>
          </w:tcPr>
          <w:p>
            <w:r>
              <w:t>CONTROLLED OPEN</w:t>
            </w:r>
          </w:p>
        </w:tc>
        <w:tc>
          <w:tcPr>
            <w:tcW w:type="dxa" w:w="3360"/>
          </w:tcPr>
          <w:p>
            <w:r>
              <w:t>Partner/domain evidence and physical design.</w:t>
            </w:r>
          </w:p>
        </w:tc>
      </w:tr>
      <w:tr>
        <w:tc>
          <w:tcPr>
            <w:tcW w:type="dxa" w:w="3360"/>
          </w:tcPr>
          <w:p>
            <w:r>
              <w:t>Private audience persistence/invitation model</w:t>
            </w:r>
          </w:p>
        </w:tc>
        <w:tc>
          <w:tcPr>
            <w:tcW w:type="dxa" w:w="3360"/>
          </w:tcPr>
          <w:p>
            <w:r>
              <w:t>CONTROLLED OPEN</w:t>
            </w:r>
          </w:p>
        </w:tc>
        <w:tc>
          <w:tcPr>
            <w:tcW w:type="dxa" w:w="3360"/>
          </w:tcPr>
          <w:p>
            <w:r>
              <w:t>Session access design.</w:t>
            </w:r>
          </w:p>
        </w:tc>
      </w:tr>
      <w:tr>
        <w:tc>
          <w:tcPr>
            <w:tcW w:type="dxa" w:w="3360"/>
          </w:tcPr>
          <w:p>
            <w:r>
              <w:t>RLS policy</w:t>
            </w:r>
          </w:p>
        </w:tc>
        <w:tc>
          <w:tcPr>
            <w:tcW w:type="dxa" w:w="3360"/>
          </w:tcPr>
          <w:p>
            <w:r>
              <w:t>DEFERRED</w:t>
            </w:r>
          </w:p>
        </w:tc>
        <w:tc>
          <w:tcPr>
            <w:tcW w:type="dxa" w:w="3360"/>
          </w:tcPr>
          <w:p>
            <w:r>
              <w:t>Physical authorization/RLS gate.</w:t>
            </w:r>
          </w:p>
        </w:tc>
      </w:tr>
    </w:tbl>
    <w:p/>
    <w:p>
      <w:pPr>
        <w:pStyle w:val="Heading1"/>
      </w:pPr>
      <w:r>
        <w:t>10. TECH-02 Gate Result</w:t>
      </w:r>
    </w:p>
    <w:p>
      <w:r>
        <w:t>PASS — Semantic visibility vocabulary is now closed by explicit user decision. Physical authorization remains deliberately deferred. No new user Open Decision is required at this point.</w:t>
      </w:r>
    </w:p>
    <w:p>
      <w:r>
        <w:t>The next technical activity can proceed to the broader authorization reconciliation using the already-governing MADCR-053/MADCR-054 boundaries, without reopening visibility.</w:t>
      </w:r>
    </w:p>
    <w:p>
      <w:pPr>
        <w:pStyle w:val="Heading1"/>
      </w:pPr>
      <w:r>
        <w:t>11. Traceability</w:t>
      </w:r>
    </w:p>
    <w:p>
      <w:r>
        <w:t>AEP4-OD-14 → organization/workspace semantic context.</w:t>
      </w:r>
    </w:p>
    <w:p>
      <w:r>
        <w:t>AEP4-OD-15 → semantic visibility/access scope.</w:t>
      </w:r>
    </w:p>
    <w:p>
      <w:r>
        <w:t>MADCR-053 → Capability + Permission + Scope taxonomy; Role as grouping; Entitlement/Awarding separate.</w:t>
      </w:r>
    </w:p>
    <w:p>
      <w:r>
        <w:t>MADCR-054 → Host/Instructor separation and explicit authorization.</w:t>
      </w:r>
    </w:p>
    <w:p>
      <w:r>
        <w:t>User decision → PUBLIC / ORGANIZATION / PARTNER / PRIVATE.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