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TECH-07</w:t>
      </w:r>
    </w:p>
    <w:p>
      <w:pPr>
        <w:jc w:val="center"/>
      </w:pPr>
      <w:r>
        <w:rPr>
          <w:i/>
        </w:rPr>
        <w:t>Physical Session Scope &amp; Schema Impact Evidence Review</w:t>
      </w:r>
    </w:p>
    <w:p>
      <w:r>
        <w:rPr>
          <w:b/>
        </w:rPr>
        <w:t xml:space="preserve">Status: </w:t>
      </w:r>
      <w:r>
        <w:t>PASS — EVIDENCE REVIEW COMPLETE; PHYSICAL DELTA SPECIFICATION READY, IMPLEMENTATION NOT AUTHORIZED</w:t>
      </w:r>
    </w:p>
    <w:p>
      <w:pPr>
        <w:pStyle w:val="Heading1"/>
      </w:pPr>
      <w:r>
        <w:t>1. Purpose</w:t>
      </w:r>
    </w:p>
    <w:p>
      <w:r>
        <w:t>TECH-07 reviews the strongest currently retrievable physical-baseline evidence to determine what can be reused for Learning Session scope and relationships and what requires a controlled physical delta. It does not execute migration, edit the current ERD, create SQL, or invent unresolved cardinality.</w:t>
      </w:r>
    </w:p>
    <w:p>
      <w:pPr>
        <w:pStyle w:val="Heading1"/>
      </w:pPr>
      <w:r>
        <w:t>2. Evidence Hierarchy Used</w:t>
      </w:r>
    </w:p>
    <w:p>
      <w:pPr>
        <w:pStyle w:val="ListBullet"/>
      </w:pPr>
      <w:r>
        <w:t>RUMAHAGEN-P1-CURRENT-TECHNICAL-BASELINE-VERIFICATION v1.0 — current downstream physical-baseline verification evidence.</w:t>
      </w:r>
    </w:p>
    <w:p>
      <w:pPr>
        <w:pStyle w:val="ListBullet"/>
      </w:pPr>
      <w:r>
        <w:t>RUMAHAGEN PROJECT FILE-BY-FILE KNOWLEDGE INVENTORY — identifies ERD v1.4 and Database Dictionary v1.0 as current downstream artifacts and migration candidates.</w:t>
      </w:r>
    </w:p>
    <w:p>
      <w:pPr>
        <w:pStyle w:val="ListBullet"/>
      </w:pPr>
      <w:r>
        <w:t>AEP4 STEP-06 ERD Logical Reconciliation — semantic separation and target logical delta.</w:t>
      </w:r>
    </w:p>
    <w:p>
      <w:pPr>
        <w:pStyle w:val="ListBullet"/>
      </w:pPr>
      <w:r>
        <w:t>AEP4 STEP-07 Logical Schema/Data Dictionary Impact — logical attributes and deferred physical representation.</w:t>
      </w:r>
    </w:p>
    <w:p>
      <w:pPr>
        <w:pStyle w:val="ListBullet"/>
      </w:pPr>
      <w:r>
        <w:t>AEP4 STEP-15 Cross-Document Reconciliation — controlled deltas and stale/legacy interpretation.</w:t>
      </w:r>
    </w:p>
    <w:p>
      <w:pPr>
        <w:pStyle w:val="ListBullet"/>
      </w:pPr>
      <w:r>
        <w:t>TECH-06 — approved semantic visibility/resource-scope vocabulary and controlled residuals.</w:t>
      </w:r>
    </w:p>
    <w:p>
      <w:pPr>
        <w:pStyle w:val="Heading1"/>
      </w:pPr>
      <w:r>
        <w:t>3. Evidence Qualification</w:t>
      </w:r>
    </w:p>
    <w:p>
      <w:r>
        <w:t>The corpus contains a P1 verification artifact that reports findings against ERD v1.4, API v1.3-FINAL-FIXED, Authorization v1.1, PRD, User Flow and other downstream artifacts. The File-by-File Inventory also lists ERD-Skema-Database-RUMAHAGEN-v1_4-FINAL.md and Database-Dictionary-Migration-Ready-v1_0-FINAL.md as CURRENT DOWNSTREAM. TECH-07 therefore uses the P1 verification and inventory as evidence of current baseline content/status, while avoiding direct rewriting of source baseline files.</w:t>
      </w:r>
    </w:p>
    <w:p>
      <w:pPr>
        <w:pStyle w:val="Heading1"/>
      </w:pPr>
      <w:r>
        <w:t>4. Confirmed Existing Physical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Area</w:t>
            </w:r>
          </w:p>
        </w:tc>
        <w:tc>
          <w:tcPr>
            <w:tcW w:type="dxa" w:w="2520"/>
            <w:shd w:fill="D9EAF7"/>
          </w:tcPr>
          <w:p>
            <w:r>
              <w:t>Evidence</w:t>
            </w:r>
          </w:p>
        </w:tc>
        <w:tc>
          <w:tcPr>
            <w:tcW w:type="dxa" w:w="2520"/>
            <w:shd w:fill="D9EAF7"/>
          </w:tcPr>
          <w:p>
            <w:r>
              <w:t>Reuse decision</w:t>
            </w:r>
          </w:p>
        </w:tc>
        <w:tc>
          <w:tcPr>
            <w:tcW w:type="dxa" w:w="2520"/>
            <w:shd w:fill="D9EAF7"/>
          </w:tcPr>
          <w:p>
            <w:r>
              <w:t>Reason</w:t>
            </w:r>
          </w:p>
        </w:tc>
      </w:tr>
      <w:tr>
        <w:tc>
          <w:tcPr>
            <w:tcW w:type="dxa" w:w="2520"/>
          </w:tcPr>
          <w:p>
            <w:r>
              <w:t>Organization</w:t>
            </w:r>
          </w:p>
        </w:tc>
        <w:tc>
          <w:tcPr>
            <w:tcW w:type="dxa" w:w="2520"/>
          </w:tcPr>
          <w:p>
            <w:r>
              <w:t>Existing organizations, organization_members, organization_invitations are present in current ERD evidence.</w:t>
            </w:r>
          </w:p>
        </w:tc>
        <w:tc>
          <w:tcPr>
            <w:tcW w:type="dxa" w:w="2520"/>
          </w:tcPr>
          <w:p>
            <w:r>
              <w:t>KEEP + REUSE</w:t>
            </w:r>
          </w:p>
        </w:tc>
        <w:tc>
          <w:tcPr>
            <w:tcW w:type="dxa" w:w="2520"/>
          </w:tcPr>
          <w:p>
            <w:r>
              <w:t>Existing authority; no Learning-specific organization entity.</w:t>
            </w:r>
          </w:p>
        </w:tc>
      </w:tr>
      <w:tr>
        <w:tc>
          <w:tcPr>
            <w:tcW w:type="dxa" w:w="2520"/>
          </w:tcPr>
          <w:p>
            <w:r>
              <w:t>M04 Course / Enrollment</w:t>
            </w:r>
          </w:p>
        </w:tc>
        <w:tc>
          <w:tcPr>
            <w:tcW w:type="dxa" w:w="2520"/>
          </w:tcPr>
          <w:p>
            <w:r>
              <w:t>Current M04 contains courses and enrollments; P1/ERD reconciliation confirms Course Enrollment.</w:t>
            </w:r>
          </w:p>
        </w:tc>
        <w:tc>
          <w:tcPr>
            <w:tcW w:type="dxa" w:w="2520"/>
          </w:tcPr>
          <w:p>
            <w:r>
              <w:t>KEEP + ISOLATE</w:t>
            </w:r>
          </w:p>
        </w:tc>
        <w:tc>
          <w:tcPr>
            <w:tcW w:type="dxa" w:w="2520"/>
          </w:tcPr>
          <w:p>
            <w:r>
              <w:t>Cannot be repurposed as Session Enrollment.</w:t>
            </w:r>
          </w:p>
        </w:tc>
      </w:tr>
      <w:tr>
        <w:tc>
          <w:tcPr>
            <w:tcW w:type="dxa" w:w="2520"/>
          </w:tcPr>
          <w:p>
            <w:r>
              <w:t>M05 Event / Registration</w:t>
            </w:r>
          </w:p>
        </w:tc>
        <w:tc>
          <w:tcPr>
            <w:tcW w:type="dxa" w:w="2520"/>
          </w:tcPr>
          <w:p>
            <w:r>
              <w:t>Current M05 contains events and event_registrations; event is calendar context.</w:t>
            </w:r>
          </w:p>
        </w:tc>
        <w:tc>
          <w:tcPr>
            <w:tcW w:type="dxa" w:w="2520"/>
          </w:tcPr>
          <w:p>
            <w:r>
              <w:t>KEEP + ISOLATE</w:t>
            </w:r>
          </w:p>
        </w:tc>
        <w:tc>
          <w:tcPr>
            <w:tcW w:type="dxa" w:w="2520"/>
          </w:tcPr>
          <w:p>
            <w:r>
              <w:t>RSVP is not Session Enrollment.</w:t>
            </w:r>
          </w:p>
        </w:tc>
      </w:tr>
      <w:tr>
        <w:tc>
          <w:tcPr>
            <w:tcW w:type="dxa" w:w="2520"/>
          </w:tcPr>
          <w:p>
            <w:r>
              <w:t>M05 meeting_link</w:t>
            </w:r>
          </w:p>
        </w:tc>
        <w:tc>
          <w:tcPr>
            <w:tcW w:type="dxa" w:w="2520"/>
          </w:tcPr>
          <w:p>
            <w:r>
              <w:t>Generic event link exists.</w:t>
            </w:r>
          </w:p>
        </w:tc>
        <w:tc>
          <w:tcPr>
            <w:tcW w:type="dxa" w:w="2520"/>
          </w:tcPr>
          <w:p>
            <w:r>
              <w:t>LEGACY / DO NOT PROMOTE</w:t>
            </w:r>
          </w:p>
        </w:tc>
        <w:tc>
          <w:tcPr>
            <w:tcW w:type="dxa" w:w="2520"/>
          </w:tcPr>
          <w:p>
            <w:r>
              <w:t>Provider Binding is canonical provider execution association.</w:t>
            </w:r>
          </w:p>
        </w:tc>
      </w:tr>
      <w:tr>
        <w:tc>
          <w:tcPr>
            <w:tcW w:type="dxa" w:w="2520"/>
          </w:tcPr>
          <w:p>
            <w:r>
              <w:t>M05 quota</w:t>
            </w:r>
          </w:p>
        </w:tc>
        <w:tc>
          <w:tcPr>
            <w:tcW w:type="dxa" w:w="2520"/>
          </w:tcPr>
          <w:p>
            <w:r>
              <w:t>Generic Event quota exists.</w:t>
            </w:r>
          </w:p>
        </w:tc>
        <w:tc>
          <w:tcPr>
            <w:tcW w:type="dxa" w:w="2520"/>
          </w:tcPr>
          <w:p>
            <w:r>
              <w:t>KEEP / ISOLATE</w:t>
            </w:r>
          </w:p>
        </w:tc>
        <w:tc>
          <w:tcPr>
            <w:tcW w:type="dxa" w:w="2520"/>
          </w:tcPr>
          <w:p>
            <w:r>
              <w:t>Not canonical Session capacity.</w:t>
            </w:r>
          </w:p>
        </w:tc>
      </w:tr>
      <w:tr>
        <w:tc>
          <w:tcPr>
            <w:tcW w:type="dxa" w:w="2520"/>
          </w:tcPr>
          <w:p>
            <w:r>
              <w:t>Audit / notification</w:t>
            </w:r>
          </w:p>
        </w:tc>
        <w:tc>
          <w:tcPr>
            <w:tcW w:type="dxa" w:w="2520"/>
          </w:tcPr>
          <w:p>
            <w:r>
              <w:t>Existing audit/notification architecture exists.</w:t>
            </w:r>
          </w:p>
        </w:tc>
        <w:tc>
          <w:tcPr>
            <w:tcW w:type="dxa" w:w="2520"/>
          </w:tcPr>
          <w:p>
            <w:r>
              <w:t>REUSE / EVOLVE</w:t>
            </w:r>
          </w:p>
        </w:tc>
        <w:tc>
          <w:tcPr>
            <w:tcW w:type="dxa" w:w="2520"/>
          </w:tcPr>
          <w:p>
            <w:r>
              <w:t>No second audit authority.</w:t>
            </w:r>
          </w:p>
        </w:tc>
      </w:tr>
      <w:tr>
        <w:tc>
          <w:tcPr>
            <w:tcW w:type="dxa" w:w="2520"/>
          </w:tcPr>
          <w:p>
            <w:r>
              <w:t>RBAC</w:t>
            </w:r>
          </w:p>
        </w:tc>
        <w:tc>
          <w:tcPr>
            <w:tcW w:type="dxa" w:w="2520"/>
          </w:tcPr>
          <w:p>
            <w:r>
              <w:t>Existing M01–M13 role/permission model exists.</w:t>
            </w:r>
          </w:p>
        </w:tc>
        <w:tc>
          <w:tcPr>
            <w:tcW w:type="dxa" w:w="2520"/>
          </w:tcPr>
          <w:p>
            <w:r>
              <w:t>KEEP + EVOLVE</w:t>
            </w:r>
          </w:p>
        </w:tc>
        <w:tc>
          <w:tcPr>
            <w:tcW w:type="dxa" w:w="2520"/>
          </w:tcPr>
          <w:p>
            <w:r>
              <w:t>Session capability delta must be reconciled; no silent ID invention.</w:t>
            </w:r>
          </w:p>
        </w:tc>
      </w:tr>
    </w:tbl>
    <w:p>
      <w:pPr>
        <w:pStyle w:val="Heading1"/>
      </w:pPr>
      <w:r>
        <w:t>5. Learning Session Physical Delta — Evidence-Based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Concept</w:t>
            </w:r>
          </w:p>
        </w:tc>
        <w:tc>
          <w:tcPr>
            <w:tcW w:type="dxa" w:w="2016"/>
            <w:shd w:fill="D9EAF7"/>
          </w:tcPr>
          <w:p>
            <w:r>
              <w:t>Existing physical evidence</w:t>
            </w:r>
          </w:p>
        </w:tc>
        <w:tc>
          <w:tcPr>
            <w:tcW w:type="dxa" w:w="2016"/>
            <w:shd w:fill="D9EAF7"/>
          </w:tcPr>
          <w:p>
            <w:r>
              <w:t>Delta</w:t>
            </w:r>
          </w:p>
        </w:tc>
        <w:tc>
          <w:tcPr>
            <w:tcW w:type="dxa" w:w="2016"/>
            <w:shd w:fill="D9EAF7"/>
          </w:tcPr>
          <w:p>
            <w:r>
              <w:t>Confidence</w:t>
            </w:r>
          </w:p>
        </w:tc>
        <w:tc>
          <w:tcPr>
            <w:tcW w:type="dxa" w:w="2016"/>
            <w:shd w:fill="D9EAF7"/>
          </w:tcPr>
          <w:p>
            <w:r>
              <w:t>Restriction</w:t>
            </w:r>
          </w:p>
        </w:tc>
      </w:tr>
      <w:tr>
        <w:tc>
          <w:tcPr>
            <w:tcW w:type="dxa" w:w="2016"/>
          </w:tcPr>
          <w:p>
            <w:r>
              <w:t>Learning Session</w:t>
            </w:r>
          </w:p>
        </w:tc>
        <w:tc>
          <w:tcPr>
            <w:tcW w:type="dxa" w:w="2016"/>
          </w:tcPr>
          <w:p>
            <w:r>
              <w:t>No dedicated Session model in verified baseline</w:t>
            </w:r>
          </w:p>
        </w:tc>
        <w:tc>
          <w:tcPr>
            <w:tcW w:type="dxa" w:w="2016"/>
          </w:tcPr>
          <w:p>
            <w:r>
              <w:t>NEW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Physical table/columns still downstream</w:t>
            </w:r>
          </w:p>
        </w:tc>
      </w:tr>
      <w:tr>
        <w:tc>
          <w:tcPr>
            <w:tcW w:type="dxa" w:w="2016"/>
          </w:tcPr>
          <w:p>
            <w:r>
              <w:t>Session Enrollment</w:t>
            </w:r>
          </w:p>
        </w:tc>
        <w:tc>
          <w:tcPr>
            <w:tcW w:type="dxa" w:w="2016"/>
          </w:tcPr>
          <w:p>
            <w:r>
              <w:t>M04 enrollment exists but is Course Enrollment</w:t>
            </w:r>
          </w:p>
        </w:tc>
        <w:tc>
          <w:tcPr>
            <w:tcW w:type="dxa" w:w="2016"/>
          </w:tcPr>
          <w:p>
            <w:r>
              <w:t>NEW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Do not reuse M04</w:t>
            </w:r>
          </w:p>
        </w:tc>
      </w:tr>
      <w:tr>
        <w:tc>
          <w:tcPr>
            <w:tcW w:type="dxa" w:w="2016"/>
          </w:tcPr>
          <w:p>
            <w:r>
              <w:t>Provider Binding</w:t>
            </w:r>
          </w:p>
        </w:tc>
        <w:tc>
          <w:tcPr>
            <w:tcW w:type="dxa" w:w="2016"/>
          </w:tcPr>
          <w:p>
            <w:r>
              <w:t>No canonical provider-neutral Session binding in baseline</w:t>
            </w:r>
          </w:p>
        </w:tc>
        <w:tc>
          <w:tcPr>
            <w:tcW w:type="dxa" w:w="2016"/>
          </w:tcPr>
          <w:p>
            <w:r>
              <w:t>NEW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Provider-specific storage remains adapter-owned</w:t>
            </w:r>
          </w:p>
        </w:tc>
      </w:tr>
      <w:tr>
        <w:tc>
          <w:tcPr>
            <w:tcW w:type="dxa" w:w="2016"/>
          </w:tcPr>
          <w:p>
            <w:r>
              <w:t>Participation Evidence</w:t>
            </w:r>
          </w:p>
        </w:tc>
        <w:tc>
          <w:tcPr>
            <w:tcW w:type="dxa" w:w="2016"/>
          </w:tcPr>
          <w:p>
            <w:r>
              <w:t>No canonical normalized provider evidence entity in baseline</w:t>
            </w:r>
          </w:p>
        </w:tc>
        <w:tc>
          <w:tcPr>
            <w:tcW w:type="dxa" w:w="2016"/>
          </w:tcPr>
          <w:p>
            <w:r>
              <w:t>NEW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Must preserve provenance/idempotency</w:t>
            </w:r>
          </w:p>
        </w:tc>
      </w:tr>
      <w:tr>
        <w:tc>
          <w:tcPr>
            <w:tcW w:type="dxa" w:w="2016"/>
          </w:tcPr>
          <w:p>
            <w:r>
              <w:t>Attendance Evaluation</w:t>
            </w:r>
          </w:p>
        </w:tc>
        <w:tc>
          <w:tcPr>
            <w:tcW w:type="dxa" w:w="2016"/>
          </w:tcPr>
          <w:p>
            <w:r>
              <w:t>Existing event_registrations.attended is not sufficient</w:t>
            </w:r>
          </w:p>
        </w:tc>
        <w:tc>
          <w:tcPr>
            <w:tcW w:type="dxa" w:w="2016"/>
          </w:tcPr>
          <w:p>
            <w:r>
              <w:t>NEW/EVOLVE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RUMAHAGEN policy authority</w:t>
            </w:r>
          </w:p>
        </w:tc>
      </w:tr>
      <w:tr>
        <w:tc>
          <w:tcPr>
            <w:tcW w:type="dxa" w:w="2016"/>
          </w:tcPr>
          <w:p>
            <w:r>
              <w:t>Completion Outcome</w:t>
            </w:r>
          </w:p>
        </w:tc>
        <w:tc>
          <w:tcPr>
            <w:tcW w:type="dxa" w:w="2016"/>
          </w:tcPr>
          <w:p>
            <w:r>
              <w:t>No dedicated AEP4 completion outcome model evidenced</w:t>
            </w:r>
          </w:p>
        </w:tc>
        <w:tc>
          <w:tcPr>
            <w:tcW w:type="dxa" w:w="2016"/>
          </w:tcPr>
          <w:p>
            <w:r>
              <w:t>NEW/EVOLVE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Separate from LP/credential/title</w:t>
            </w:r>
          </w:p>
        </w:tc>
      </w:tr>
      <w:tr>
        <w:tc>
          <w:tcPr>
            <w:tcW w:type="dxa" w:w="2016"/>
          </w:tcPr>
          <w:p>
            <w:r>
              <w:t>Session Artifact/Recording</w:t>
            </w:r>
          </w:p>
        </w:tc>
        <w:tc>
          <w:tcPr>
            <w:tcW w:type="dxa" w:w="2016"/>
          </w:tcPr>
          <w:p>
            <w:r>
              <w:t>No canonical AEP4 artifact model evidenced</w:t>
            </w:r>
          </w:p>
        </w:tc>
        <w:tc>
          <w:tcPr>
            <w:tcW w:type="dxa" w:w="2016"/>
          </w:tcPr>
          <w:p>
            <w:r>
              <w:t>NEW/EVOLVE</w:t>
            </w:r>
          </w:p>
        </w:tc>
        <w:tc>
          <w:tcPr>
            <w:tcW w:type="dxa" w:w="2016"/>
          </w:tcPr>
          <w:p>
            <w:r>
              <w:t>MEDIUM</w:t>
            </w:r>
          </w:p>
        </w:tc>
        <w:tc>
          <w:tcPr>
            <w:tcW w:type="dxa" w:w="2016"/>
          </w:tcPr>
          <w:p>
            <w:r>
              <w:t>Reference-first policy; exact media model downstream</w:t>
            </w:r>
          </w:p>
        </w:tc>
      </w:tr>
      <w:tr>
        <w:tc>
          <w:tcPr>
            <w:tcW w:type="dxa" w:w="2016"/>
          </w:tcPr>
          <w:p>
            <w:r>
              <w:t>Organization context</w:t>
            </w:r>
          </w:p>
        </w:tc>
        <w:tc>
          <w:tcPr>
            <w:tcW w:type="dxa" w:w="2016"/>
          </w:tcPr>
          <w:p>
            <w:r>
              <w:t>Existing organization authority</w:t>
            </w:r>
          </w:p>
        </w:tc>
        <w:tc>
          <w:tcPr>
            <w:tcW w:type="dxa" w:w="2016"/>
          </w:tcPr>
          <w:p>
            <w:r>
              <w:t>EVOLVE/INTEGRATE</w:t>
            </w:r>
          </w:p>
        </w:tc>
        <w:tc>
          <w:tcPr>
            <w:tcW w:type="dxa" w:w="2016"/>
          </w:tcPr>
          <w:p>
            <w:r>
              <w:t>HIGH</w:t>
            </w:r>
          </w:p>
        </w:tc>
        <w:tc>
          <w:tcPr>
            <w:tcW w:type="dxa" w:w="2016"/>
          </w:tcPr>
          <w:p>
            <w:r>
              <w:t>Cardinality remains open</w:t>
            </w:r>
          </w:p>
        </w:tc>
      </w:tr>
      <w:tr>
        <w:tc>
          <w:tcPr>
            <w:tcW w:type="dxa" w:w="2016"/>
          </w:tcPr>
          <w:p>
            <w:r>
              <w:t>Partner context</w:t>
            </w:r>
          </w:p>
        </w:tc>
        <w:tc>
          <w:tcPr>
            <w:tcW w:type="dxa" w:w="2016"/>
          </w:tcPr>
          <w:p>
            <w:r>
              <w:t>No authoritative Session↔Partner physical model surfaced</w:t>
            </w:r>
          </w:p>
        </w:tc>
        <w:tc>
          <w:tcPr>
            <w:tcW w:type="dxa" w:w="2016"/>
          </w:tcPr>
          <w:p>
            <w:r>
              <w:t>OPEN DELTA</w:t>
            </w:r>
          </w:p>
        </w:tc>
        <w:tc>
          <w:tcPr>
            <w:tcW w:type="dxa" w:w="2016"/>
          </w:tcPr>
          <w:p>
            <w:r>
              <w:t>LOW/MEDIUM</w:t>
            </w:r>
          </w:p>
        </w:tc>
        <w:tc>
          <w:tcPr>
            <w:tcW w:type="dxa" w:w="2016"/>
          </w:tcPr>
          <w:p>
            <w:r>
              <w:t>Do not invent table/cardinality</w:t>
            </w:r>
          </w:p>
        </w:tc>
      </w:tr>
      <w:tr>
        <w:tc>
          <w:tcPr>
            <w:tcW w:type="dxa" w:w="2016"/>
          </w:tcPr>
          <w:p>
            <w:r>
              <w:t>Private audience</w:t>
            </w:r>
          </w:p>
        </w:tc>
        <w:tc>
          <w:tcPr>
            <w:tcW w:type="dxa" w:w="2016"/>
          </w:tcPr>
          <w:p>
            <w:r>
              <w:t>No authoritative persistence model surfaced</w:t>
            </w:r>
          </w:p>
        </w:tc>
        <w:tc>
          <w:tcPr>
            <w:tcW w:type="dxa" w:w="2016"/>
          </w:tcPr>
          <w:p>
            <w:r>
              <w:t>OPEN DELTA</w:t>
            </w:r>
          </w:p>
        </w:tc>
        <w:tc>
          <w:tcPr>
            <w:tcW w:type="dxa" w:w="2016"/>
          </w:tcPr>
          <w:p>
            <w:r>
              <w:t>LOW/MEDIUM</w:t>
            </w:r>
          </w:p>
        </w:tc>
        <w:tc>
          <w:tcPr>
            <w:tcW w:type="dxa" w:w="2016"/>
          </w:tcPr>
          <w:p>
            <w:r>
              <w:t>Do not invent ACL/invitation table</w:t>
            </w:r>
          </w:p>
        </w:tc>
      </w:tr>
    </w:tbl>
    <w:p>
      <w:pPr>
        <w:pStyle w:val="Heading1"/>
      </w:pPr>
      <w:r>
        <w:t>6. Schema Relationship Conclusions</w:t>
      </w:r>
    </w:p>
    <w:p>
      <w:pPr>
        <w:pStyle w:val="ListBullet"/>
      </w:pPr>
      <w:r>
        <w:t>Learning Session must have a provider-independent semantic identity.</w:t>
      </w:r>
    </w:p>
    <w:p>
      <w:pPr>
        <w:pStyle w:val="ListBullet"/>
      </w:pPr>
      <w:r>
        <w:t>Provider Binding must hold external/provider identity; Provider Session ID must never become Learning Session identity.</w:t>
      </w:r>
    </w:p>
    <w:p>
      <w:pPr>
        <w:pStyle w:val="ListBullet"/>
      </w:pPr>
      <w:r>
        <w:t>Session Enrollment must reference learner/agent identity and Session identity; it is not M04 enrollment and not M05 RSVP.</w:t>
      </w:r>
    </w:p>
    <w:p>
      <w:pPr>
        <w:pStyle w:val="ListBullet"/>
      </w:pPr>
      <w:r>
        <w:t>Organization context may reference existing Organization authority; exact Session↔Organization cardinality remains unresolved.</w:t>
      </w:r>
    </w:p>
    <w:p>
      <w:pPr>
        <w:pStyle w:val="ListBullet"/>
      </w:pPr>
      <w:r>
        <w:t>Partner visibility is semantically approved, but no sufficient physical Partner relationship evidence exists to lock Session↔Partner.</w:t>
      </w:r>
    </w:p>
    <w:p>
      <w:pPr>
        <w:pStyle w:val="ListBullet"/>
      </w:pPr>
      <w:r>
        <w:t>PRIVATE visibility is semantically approved, but no sufficient evidence exists to select an audience persistence mechanism.</w:t>
      </w:r>
    </w:p>
    <w:p>
      <w:pPr>
        <w:pStyle w:val="ListBullet"/>
      </w:pPr>
      <w:r>
        <w:t>Session↔Event remains a presentation/discovery integration; exact cardinality/ownership remains downstream.</w:t>
      </w:r>
    </w:p>
    <w:p>
      <w:pPr>
        <w:pStyle w:val="ListBullet"/>
      </w:pPr>
      <w:r>
        <w:t>Existing M05 quota and meeting_link remain isolated from canonical Session capacity/provider identity.</w:t>
      </w:r>
    </w:p>
    <w:p>
      <w:pPr>
        <w:pStyle w:val="Heading1"/>
      </w:pPr>
      <w:r>
        <w:t>7. Physical Delta Readiness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Delta</w:t>
            </w:r>
          </w:p>
        </w:tc>
        <w:tc>
          <w:tcPr>
            <w:tcW w:type="dxa" w:w="2520"/>
            <w:shd w:fill="D9EAF7"/>
          </w:tcPr>
          <w:p>
            <w:r>
              <w:t>Ready for logical-to-physical specification?</w:t>
            </w:r>
          </w:p>
        </w:tc>
        <w:tc>
          <w:tcPr>
            <w:tcW w:type="dxa" w:w="2520"/>
            <w:shd w:fill="D9EAF7"/>
          </w:tcPr>
          <w:p>
            <w:r>
              <w:t>Evidence</w:t>
            </w:r>
          </w:p>
        </w:tc>
        <w:tc>
          <w:tcPr>
            <w:tcW w:type="dxa" w:w="2520"/>
            <w:shd w:fill="D9EAF7"/>
          </w:tcPr>
          <w:p>
            <w:r>
              <w:t>Can implement now?</w:t>
            </w:r>
          </w:p>
        </w:tc>
      </w:tr>
      <w:tr>
        <w:tc>
          <w:tcPr>
            <w:tcW w:type="dxa" w:w="2520"/>
          </w:tcPr>
          <w:p>
            <w:r>
              <w:t>Learning Session core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AEP4 logical model + P1 physical baseline gap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Session Enrollment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AEP4 logical relationship + existing M04 isolation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Provider Binding / Evidence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AEP4 controlled provider boundary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Organization reference</w:t>
            </w:r>
          </w:p>
        </w:tc>
        <w:tc>
          <w:tcPr>
            <w:tcW w:type="dxa" w:w="2520"/>
          </w:tcPr>
          <w:p>
            <w:r>
              <w:t>YES, conditionally</w:t>
            </w:r>
          </w:p>
        </w:tc>
        <w:tc>
          <w:tcPr>
            <w:tcW w:type="dxa" w:w="2520"/>
          </w:tcPr>
          <w:p>
            <w:r>
              <w:t>Existing Organization authority</w:t>
            </w:r>
          </w:p>
        </w:tc>
        <w:tc>
          <w:tcPr>
            <w:tcW w:type="dxa" w:w="2520"/>
          </w:tcPr>
          <w:p>
            <w:r>
              <w:t>NO — cardinality unresolved</w:t>
            </w:r>
          </w:p>
        </w:tc>
      </w:tr>
      <w:tr>
        <w:tc>
          <w:tcPr>
            <w:tcW w:type="dxa" w:w="2520"/>
          </w:tcPr>
          <w:p>
            <w:r>
              <w:t>Partner relationship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Insufficient physical authority evidence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Private audience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Insufficient persistence evidence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Session↔Event</w:t>
            </w:r>
          </w:p>
        </w:tc>
        <w:tc>
          <w:tcPr>
            <w:tcW w:type="dxa" w:w="2520"/>
          </w:tcPr>
          <w:p>
            <w:r>
              <w:t>YES semantically</w:t>
            </w:r>
          </w:p>
        </w:tc>
        <w:tc>
          <w:tcPr>
            <w:tcW w:type="dxa" w:w="2520"/>
          </w:tcPr>
          <w:p>
            <w:r>
              <w:t>AEP4 calendar integration</w:t>
            </w:r>
          </w:p>
        </w:tc>
        <w:tc>
          <w:tcPr>
            <w:tcW w:type="dxa" w:w="2520"/>
          </w:tcPr>
          <w:p>
            <w:r>
              <w:t>NO — cardinality unresolved</w:t>
            </w:r>
          </w:p>
        </w:tc>
      </w:tr>
      <w:tr>
        <w:tc>
          <w:tcPr>
            <w:tcW w:type="dxa" w:w="2520"/>
          </w:tcPr>
          <w:p>
            <w:r>
              <w:t>RLS</w:t>
            </w:r>
          </w:p>
        </w:tc>
        <w:tc>
          <w:tcPr>
            <w:tcW w:type="dxa" w:w="2520"/>
          </w:tcPr>
          <w:p>
            <w:r>
              <w:t>YES as design input</w:t>
            </w:r>
          </w:p>
        </w:tc>
        <w:tc>
          <w:tcPr>
            <w:tcW w:type="dxa" w:w="2520"/>
          </w:tcPr>
          <w:p>
            <w:r>
              <w:t>TECH-05 + Organization model</w:t>
            </w:r>
          </w:p>
        </w:tc>
        <w:tc>
          <w:tcPr>
            <w:tcW w:type="dxa" w:w="2520"/>
          </w:tcPr>
          <w:p>
            <w:r>
              <w:t>NO — SQL/physical policy deferred</w:t>
            </w:r>
          </w:p>
        </w:tc>
      </w:tr>
    </w:tbl>
    <w:p>
      <w:pPr>
        <w:pStyle w:val="Heading1"/>
      </w:pPr>
      <w:r>
        <w:t>8. Controlled Physical Delta Package — Next Design Inputs</w:t>
      </w:r>
    </w:p>
    <w:p>
      <w:pPr>
        <w:pStyle w:val="ListBullet"/>
      </w:pPr>
      <w:r>
        <w:t>New Learning Session resource with provider-independent identity and lifecycle.</w:t>
      </w:r>
    </w:p>
    <w:p>
      <w:pPr>
        <w:pStyle w:val="ListBullet"/>
      </w:pPr>
      <w:r>
        <w:t>New Session Enrollment resource distinct from Course Enrollment and Event Registration.</w:t>
      </w:r>
    </w:p>
    <w:p>
      <w:pPr>
        <w:pStyle w:val="ListBullet"/>
      </w:pPr>
      <w:r>
        <w:t>New Provider Binding and Participation Evidence resources behind provider adapter boundary.</w:t>
      </w:r>
    </w:p>
    <w:p>
      <w:pPr>
        <w:pStyle w:val="ListBullet"/>
      </w:pPr>
      <w:r>
        <w:t>New/evolved Attendance Evaluation and Completion Outcome persistence, preserving provenance.</w:t>
      </w:r>
    </w:p>
    <w:p>
      <w:pPr>
        <w:pStyle w:val="ListBullet"/>
      </w:pPr>
      <w:r>
        <w:t>Session visibility field using approved semantic vocabulary PUBLIC / ORGANIZATION / PARTNER / PRIVATE.</w:t>
      </w:r>
    </w:p>
    <w:p>
      <w:pPr>
        <w:pStyle w:val="ListBullet"/>
      </w:pPr>
      <w:r>
        <w:t>Existing Organization authority reused when applicable; no new Organization entity.</w:t>
      </w:r>
    </w:p>
    <w:p>
      <w:pPr>
        <w:pStyle w:val="ListBullet"/>
      </w:pPr>
      <w:r>
        <w:t>Explicitly defer Partner relationship until authoritative partner model is found or a new decision is approved.</w:t>
      </w:r>
    </w:p>
    <w:p>
      <w:pPr>
        <w:pStyle w:val="ListBullet"/>
      </w:pPr>
      <w:r>
        <w:t>Explicitly defer Private audience persistence until access model evidence is sufficient.</w:t>
      </w:r>
    </w:p>
    <w:p>
      <w:pPr>
        <w:pStyle w:val="ListBullet"/>
      </w:pPr>
      <w:r>
        <w:t>Preserve Event Calendar as presentation/discovery integration rather than semantic Session authority.</w:t>
      </w:r>
    </w:p>
    <w:p>
      <w:pPr>
        <w:pStyle w:val="Heading1"/>
      </w:pPr>
      <w:r>
        <w:t>9. Open Decisions / Residuals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Residual</w:t>
            </w:r>
          </w:p>
        </w:tc>
        <w:tc>
          <w:tcPr>
            <w:tcW w:type="dxa" w:w="2520"/>
            <w:shd w:fill="D9EAF7"/>
          </w:tcPr>
          <w:p>
            <w:r>
              <w:t>Status</w:t>
            </w:r>
          </w:p>
        </w:tc>
        <w:tc>
          <w:tcPr>
            <w:tcW w:type="dxa" w:w="2520"/>
            <w:shd w:fill="D9EAF7"/>
          </w:tcPr>
          <w:p>
            <w:r>
              <w:t>Lead treatment</w:t>
            </w:r>
          </w:p>
        </w:tc>
        <w:tc>
          <w:tcPr>
            <w:tcW w:type="dxa" w:w="2520"/>
            <w:shd w:fill="D9EAF7"/>
          </w:tcPr>
          <w:p>
            <w:r>
              <w:t>User decision now?</w:t>
            </w:r>
          </w:p>
        </w:tc>
      </w:tr>
      <w:tr>
        <w:tc>
          <w:tcPr>
            <w:tcW w:type="dxa" w:w="2520"/>
          </w:tcPr>
          <w:p>
            <w:r>
              <w:t>Session↔Organization cardinality</w:t>
            </w:r>
          </w:p>
        </w:tc>
        <w:tc>
          <w:tcPr>
            <w:tcW w:type="dxa" w:w="2520"/>
          </w:tcPr>
          <w:p>
            <w:r>
              <w:t>CONTROLLED OPEN</w:t>
            </w:r>
          </w:p>
        </w:tc>
        <w:tc>
          <w:tcPr>
            <w:tcW w:type="dxa" w:w="2520"/>
          </w:tcPr>
          <w:p>
            <w:r>
              <w:t>Carry to physical schema decision gate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Session↔Partner relationship/cardinality</w:t>
            </w:r>
          </w:p>
        </w:tc>
        <w:tc>
          <w:tcPr>
            <w:tcW w:type="dxa" w:w="2520"/>
          </w:tcPr>
          <w:p>
            <w:r>
              <w:t>OPEN / EVIDENCE GAP</w:t>
            </w:r>
          </w:p>
        </w:tc>
        <w:tc>
          <w:tcPr>
            <w:tcW w:type="dxa" w:w="2520"/>
          </w:tcPr>
          <w:p>
            <w:r>
              <w:t>Search/verify partner model before deciding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PRIVATE audience persistence</w:t>
            </w:r>
          </w:p>
        </w:tc>
        <w:tc>
          <w:tcPr>
            <w:tcW w:type="dxa" w:w="2520"/>
          </w:tcPr>
          <w:p>
            <w:r>
              <w:t>OPEN / EVIDENCE GAP</w:t>
            </w:r>
          </w:p>
        </w:tc>
        <w:tc>
          <w:tcPr>
            <w:tcW w:type="dxa" w:w="2520"/>
          </w:tcPr>
          <w:p>
            <w:r>
              <w:t>Search/verify access/audience model before deciding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Session↔Event cardinality</w:t>
            </w:r>
          </w:p>
        </w:tc>
        <w:tc>
          <w:tcPr>
            <w:tcW w:type="dxa" w:w="2520"/>
          </w:tcPr>
          <w:p>
            <w:r>
              <w:t>OPEN / DEFERRED</w:t>
            </w:r>
          </w:p>
        </w:tc>
        <w:tc>
          <w:tcPr>
            <w:tcW w:type="dxa" w:w="2520"/>
          </w:tcPr>
          <w:p>
            <w:r>
              <w:t>Resolve only when schema/API contract requires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Exact physical RLS</w:t>
            </w:r>
          </w:p>
        </w:tc>
        <w:tc>
          <w:tcPr>
            <w:tcW w:type="dxa" w:w="2520"/>
          </w:tcPr>
          <w:p>
            <w:r>
              <w:t>DEFERRED</w:t>
            </w:r>
          </w:p>
        </w:tc>
        <w:tc>
          <w:tcPr>
            <w:tcW w:type="dxa" w:w="2520"/>
          </w:tcPr>
          <w:p>
            <w:r>
              <w:t>Design after resource relationships are stable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Exact permission IDs</w:t>
            </w:r>
          </w:p>
        </w:tc>
        <w:tc>
          <w:tcPr>
            <w:tcW w:type="dxa" w:w="2520"/>
          </w:tcPr>
          <w:p>
            <w:r>
              <w:t>CONTROLLED</w:t>
            </w:r>
          </w:p>
        </w:tc>
        <w:tc>
          <w:tcPr>
            <w:tcW w:type="dxa" w:w="2520"/>
          </w:tcPr>
          <w:p>
            <w:r>
              <w:t>Reconcile after catalogue evidence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</w:tbl>
    <w:p>
      <w:pPr>
        <w:pStyle w:val="Heading1"/>
      </w:pPr>
      <w:r>
        <w:t>10. Lead Decision</w:t>
      </w:r>
    </w:p>
    <w:p>
      <w:r>
        <w:t>TECH-07 passes the evidence-review gate. The current evidence is strong enough to define a controlled physical delta package for Learning Session, Session Enrollment, Provider Binding/Evidence and Organization integration. It is not strong enough to finalize Partner or Private-audience physical relationships, nor Session↔Event cardinality.</w:t>
      </w:r>
    </w:p>
    <w:p>
      <w:r>
        <w:t>No user Open Decision is required at this moment. The correct next action is a focused evidence/design gate, not implementation. If the next source review still cannot establish Partner or Private audience structures, those items will be raised explicitly as Open Decisions rather than inferred.</w:t>
      </w:r>
    </w:p>
    <w:p>
      <w:pPr>
        <w:pStyle w:val="Heading1"/>
      </w:pPr>
      <w:r>
        <w:t>11. Next Step — TECH-08</w:t>
      </w:r>
    </w:p>
    <w:p>
      <w:r>
        <w:t>TECH-08 — Session Physical Relationship Decision Gate. Focus: resolve the remaining physical relationship questions from the strongest available source evidence, then produce a controlled ERD/schema delta specification. No migration or production SQL will be executed.</w:t>
      </w:r>
    </w:p>
    <w:p>
      <w:pPr>
        <w:pStyle w:val="Heading1"/>
      </w:pPr>
      <w:r>
        <w:t>12. Traceability</w:t>
      </w:r>
    </w:p>
    <w:p>
      <w:pPr>
        <w:pStyle w:val="ListBullet"/>
      </w:pPr>
      <w:r>
        <w:t>RUMAHAGEN-P1-CURRENT-TECHNICAL-BASELINE-VERIFICATION v1.0 — downstream baseline findings.</w:t>
      </w:r>
    </w:p>
    <w:p>
      <w:pPr>
        <w:pStyle w:val="ListBullet"/>
      </w:pPr>
      <w:r>
        <w:t>RUMAHAGEN PROJECT FILE-BY-FILE KNOWLEDGE INVENTORY — current downstream artifact inventory.</w:t>
      </w:r>
    </w:p>
    <w:p>
      <w:pPr>
        <w:pStyle w:val="ListBullet"/>
      </w:pPr>
      <w:r>
        <w:t>AEP4 STEP-06 — ERD logical reconciliation.</w:t>
      </w:r>
    </w:p>
    <w:p>
      <w:pPr>
        <w:pStyle w:val="ListBullet"/>
      </w:pPr>
      <w:r>
        <w:t>AEP4 STEP-07 — logical data dictionary and deferred physical schema.</w:t>
      </w:r>
    </w:p>
    <w:p>
      <w:pPr>
        <w:pStyle w:val="ListBullet"/>
      </w:pPr>
      <w:r>
        <w:t>AEP4 STEP-15 — cross-document stale/controlled delta treatment.</w:t>
      </w:r>
    </w:p>
    <w:p>
      <w:pPr>
        <w:pStyle w:val="ListBullet"/>
      </w:pPr>
      <w:r>
        <w:t>TECH-05 — authorization scope and RLS design readiness.</w:t>
      </w:r>
    </w:p>
    <w:p>
      <w:pPr>
        <w:pStyle w:val="ListBullet"/>
      </w:pPr>
      <w:r>
        <w:t>TECH-06 — Session resource scope relationship design.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