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TECH-11</w:t>
      </w:r>
    </w:p>
    <w:p>
      <w:pPr>
        <w:jc w:val="center"/>
      </w:pPr>
      <w:r>
        <w:rPr>
          <w:i/>
        </w:rPr>
        <w:t>Migration Specification &amp; Verification Package</w:t>
      </w:r>
    </w:p>
    <w:p>
      <w:r>
        <w:rPr>
          <w:b/>
        </w:rPr>
        <w:t xml:space="preserve">Status: </w:t>
      </w:r>
      <w:r>
        <w:t>REVIEW-READY DRAFT — EXECUTION NOT AUTHORIZED</w:t>
      </w:r>
    </w:p>
    <w:p>
      <w:pPr>
        <w:pStyle w:val="Heading1"/>
      </w:pPr>
      <w:r>
        <w:t>1. Purpose</w:t>
      </w:r>
    </w:p>
    <w:p>
      <w:r>
        <w:t>TECH-11 converts TECH-10 into a reviewable migration package: dependency order, exact candidate DDL, indexes, RLS policy direction, validation queries, rollback direction and explicit implementation gates. The SQL companion is a draft artifact only. It must not be executed against production until the authorization and policy gates listed in this document are closed.</w:t>
      </w:r>
    </w:p>
    <w:p>
      <w:pPr>
        <w:pStyle w:val="Heading1"/>
      </w:pPr>
      <w:r>
        <w:t>2. Source Basis</w:t>
      </w:r>
    </w:p>
    <w:p>
      <w:pPr>
        <w:pStyle w:val="ListBullet"/>
      </w:pPr>
      <w:r>
        <w:t>Database-Migration-Full-v1_0.sql — current executable M01–M13 baseline.</w:t>
      </w:r>
    </w:p>
    <w:p>
      <w:pPr>
        <w:pStyle w:val="ListBullet"/>
      </w:pPr>
      <w:r>
        <w:t>0002_m10_rbac_foundation — exact RBAC table/function conventions.</w:t>
      </w:r>
    </w:p>
    <w:p>
      <w:pPr>
        <w:pStyle w:val="ListBullet"/>
      </w:pPr>
      <w:r>
        <w:t>0007_m12_organization-FIXED.sql — organizations/organization_members physical model and RLS pattern.</w:t>
      </w:r>
    </w:p>
    <w:p>
      <w:pPr>
        <w:pStyle w:val="ListBullet"/>
      </w:pPr>
      <w:r>
        <w:t>0010_m05_events-FIXED.sql — events/event_registrations physical model and RLS pattern.</w:t>
      </w:r>
    </w:p>
    <w:p>
      <w:pPr>
        <w:pStyle w:val="ListBullet"/>
      </w:pPr>
      <w:r>
        <w:t>AEP4 STEP-07 — logical Session schema, provenance and non-repurpose rules.</w:t>
      </w:r>
    </w:p>
    <w:p>
      <w:pPr>
        <w:pStyle w:val="ListBullet"/>
      </w:pPr>
      <w:r>
        <w:t>AEP4 STEP-08 — provider adapter/evidence/idempotency boundary.</w:t>
      </w:r>
    </w:p>
    <w:p>
      <w:pPr>
        <w:pStyle w:val="ListBullet"/>
      </w:pPr>
      <w:r>
        <w:t>AEP4 STEP-10 — conceptual Session permission families; exact permission IDs remain conditional.</w:t>
      </w:r>
    </w:p>
    <w:p>
      <w:pPr>
        <w:pStyle w:val="ListBullet"/>
      </w:pPr>
      <w:r>
        <w:t>TECH-08 — approved physical relationships.</w:t>
      </w:r>
    </w:p>
    <w:p>
      <w:pPr>
        <w:pStyle w:val="ListBullet"/>
      </w:pPr>
      <w:r>
        <w:t>TECH-09 — physical ERD/schema delta.</w:t>
      </w:r>
    </w:p>
    <w:p>
      <w:pPr>
        <w:pStyle w:val="ListBullet"/>
      </w:pPr>
      <w:r>
        <w:t>TECH-10 — physical baseline verification.</w:t>
      </w:r>
    </w:p>
    <w:p>
      <w:pPr>
        <w:pStyle w:val="Heading1"/>
      </w:pPr>
      <w:r>
        <w:t>3. Governing Decisions Applied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Decision</w:t>
            </w:r>
          </w:p>
        </w:tc>
        <w:tc>
          <w:tcPr>
            <w:tcW w:type="dxa" w:w="5040"/>
            <w:shd w:fill="D9EAF7"/>
          </w:tcPr>
          <w:p>
            <w:r>
              <w:t>Applied migration rule</w:t>
            </w:r>
          </w:p>
        </w:tc>
      </w:tr>
      <w:tr>
        <w:tc>
          <w:tcPr>
            <w:tcW w:type="dxa" w:w="5040"/>
          </w:tcPr>
          <w:p>
            <w:r>
              <w:t>Session ↔ Organization</w:t>
            </w:r>
          </w:p>
        </w:tc>
        <w:tc>
          <w:tcPr>
            <w:tcW w:type="dxa" w:w="5040"/>
          </w:tcPr>
          <w:p>
            <w:r>
              <w:t>learning_sessions.organization_id nullable FK → organizations.id; max 1 Organization per Session.</w:t>
            </w:r>
          </w:p>
        </w:tc>
      </w:tr>
      <w:tr>
        <w:tc>
          <w:tcPr>
            <w:tcW w:type="dxa" w:w="5040"/>
          </w:tcPr>
          <w:p>
            <w:r>
              <w:t>Session ↔ Partner</w:t>
            </w:r>
          </w:p>
        </w:tc>
        <w:tc>
          <w:tcPr>
            <w:tcW w:type="dxa" w:w="5040"/>
          </w:tcPr>
          <w:p>
            <w:r>
              <w:t>No physical partner relation in MVP.</w:t>
            </w:r>
          </w:p>
        </w:tc>
      </w:tr>
      <w:tr>
        <w:tc>
          <w:tcPr>
            <w:tcW w:type="dxa" w:w="5040"/>
          </w:tcPr>
          <w:p>
            <w:r>
              <w:t>PRIVATE audience</w:t>
            </w:r>
          </w:p>
        </w:tc>
        <w:tc>
          <w:tcPr>
            <w:tcW w:type="dxa" w:w="5040"/>
          </w:tcPr>
          <w:p>
            <w:r>
              <w:t>No dedicated audience table in MVP; access is authorization/enrollment-context based.</w:t>
            </w:r>
          </w:p>
        </w:tc>
      </w:tr>
      <w:tr>
        <w:tc>
          <w:tcPr>
            <w:tcW w:type="dxa" w:w="5040"/>
          </w:tcPr>
          <w:p>
            <w:r>
              <w:t>Session ↔ Event</w:t>
            </w:r>
          </w:p>
        </w:tc>
        <w:tc>
          <w:tcPr>
            <w:tcW w:type="dxa" w:w="5040"/>
          </w:tcPr>
          <w:p>
            <w:r>
              <w:t>learning_sessions.event_id nullable FK → events.id; max 1 canonical Event.</w:t>
            </w:r>
          </w:p>
        </w:tc>
      </w:tr>
      <w:tr>
        <w:tc>
          <w:tcPr>
            <w:tcW w:type="dxa" w:w="5040"/>
          </w:tcPr>
          <w:p>
            <w:r>
              <w:t>Visibility</w:t>
            </w:r>
          </w:p>
        </w:tc>
        <w:tc>
          <w:tcPr>
            <w:tcW w:type="dxa" w:w="5040"/>
          </w:tcPr>
          <w:p>
            <w:r>
              <w:t>PUBLIC / ORGANIZATION / PARTNER / PRIVATE.</w:t>
            </w:r>
          </w:p>
        </w:tc>
      </w:tr>
      <w:tr>
        <w:tc>
          <w:tcPr>
            <w:tcW w:type="dxa" w:w="5040"/>
          </w:tcPr>
          <w:p>
            <w:r>
              <w:t>Session taxonomy</w:t>
            </w:r>
          </w:p>
        </w:tc>
        <w:tc>
          <w:tcPr>
            <w:tcW w:type="dxa" w:w="5040"/>
          </w:tcPr>
          <w:p>
            <w:r>
              <w:t>BROADCAST / INTERACTIVE / ON_DEMAND.</w:t>
            </w:r>
          </w:p>
        </w:tc>
      </w:tr>
      <w:tr>
        <w:tc>
          <w:tcPr>
            <w:tcW w:type="dxa" w:w="5040"/>
          </w:tcPr>
          <w:p>
            <w:r>
              <w:t>MADCR-049</w:t>
            </w:r>
          </w:p>
        </w:tc>
        <w:tc>
          <w:tcPr>
            <w:tcW w:type="dxa" w:w="5040"/>
          </w:tcPr>
          <w:p>
            <w:r>
              <w:t>Learning Activity is the completion/reward boundary; exact physical Activity cardinality/API remains downstream.</w:t>
            </w:r>
          </w:p>
        </w:tc>
      </w:tr>
      <w:tr>
        <w:tc>
          <w:tcPr>
            <w:tcW w:type="dxa" w:w="5040"/>
          </w:tcPr>
          <w:p>
            <w:r>
              <w:t>MADCR-053</w:t>
            </w:r>
          </w:p>
        </w:tc>
        <w:tc>
          <w:tcPr>
            <w:tcW w:type="dxa" w:w="5040"/>
          </w:tcPr>
          <w:p>
            <w:r>
              <w:t>Capability + Permission + Scope; Role actor grouping; Entitlement and Qualification/Awarding separate.</w:t>
            </w:r>
          </w:p>
        </w:tc>
      </w:tr>
      <w:tr>
        <w:tc>
          <w:tcPr>
            <w:tcW w:type="dxa" w:w="5040"/>
          </w:tcPr>
          <w:p>
            <w:r>
              <w:t>MADCR-054</w:t>
            </w:r>
          </w:p>
        </w:tc>
        <w:tc>
          <w:tcPr>
            <w:tcW w:type="dxa" w:w="5040"/>
          </w:tcPr>
          <w:p>
            <w:r>
              <w:t>Host and Instructor are separate capabilities; dual capability requires explicit authorization.</w:t>
            </w:r>
          </w:p>
        </w:tc>
      </w:tr>
    </w:tbl>
    <w:p>
      <w:pPr>
        <w:pStyle w:val="Heading1"/>
      </w:pPr>
      <w:r>
        <w:t>4. Migration Safety Classification</w:t>
      </w:r>
    </w:p>
    <w:p>
      <w:r>
        <w:t>All changes in this package are additive to the M01–M13 baseline. No existing M04 enrollment, M05 event registration, certificate, organization or event row is migrated or repurposed. The package intentionally avoids seeding final Session permission IDs because the source identifies the conceptual permission families but does not provide a verified final catalogue mapping.</w:t>
      </w:r>
    </w:p>
    <w:p>
      <w:pPr>
        <w:pStyle w:val="Heading1"/>
      </w:pPr>
      <w:r>
        <w:t>5. Dependency Order</w:t>
      </w:r>
    </w:p>
    <w:p>
      <w:pPr>
        <w:pStyle w:val="ListNumber"/>
      </w:pPr>
      <w:r>
        <w:t>Verify baseline migration version and backup.</w:t>
      </w:r>
    </w:p>
    <w:p>
      <w:pPr>
        <w:pStyle w:val="ListNumber"/>
      </w:pPr>
      <w:r>
        <w:t>Create learning_sessions.</w:t>
      </w:r>
    </w:p>
    <w:p>
      <w:pPr>
        <w:pStyle w:val="ListNumber"/>
      </w:pPr>
      <w:r>
        <w:t>Create session_enrollments.</w:t>
      </w:r>
    </w:p>
    <w:p>
      <w:pPr>
        <w:pStyle w:val="ListNumber"/>
      </w:pPr>
      <w:r>
        <w:t>Create session_provider_bindings.</w:t>
      </w:r>
    </w:p>
    <w:p>
      <w:pPr>
        <w:pStyle w:val="ListNumber"/>
      </w:pPr>
      <w:r>
        <w:t>Create session_participation_evidence.</w:t>
      </w:r>
    </w:p>
    <w:p>
      <w:pPr>
        <w:pStyle w:val="ListNumber"/>
      </w:pPr>
      <w:r>
        <w:t>Create session_attendance_evaluations.</w:t>
      </w:r>
    </w:p>
    <w:p>
      <w:pPr>
        <w:pStyle w:val="ListNumber"/>
      </w:pPr>
      <w:r>
        <w:t>Create session_completion_outcomes.</w:t>
      </w:r>
    </w:p>
    <w:p>
      <w:pPr>
        <w:pStyle w:val="ListNumber"/>
      </w:pPr>
      <w:r>
        <w:t>Create session_artifacts.</w:t>
      </w:r>
    </w:p>
    <w:p>
      <w:pPr>
        <w:pStyle w:val="ListNumber"/>
      </w:pPr>
      <w:r>
        <w:t>Create indexes and integrity constraints.</w:t>
      </w:r>
    </w:p>
    <w:p>
      <w:pPr>
        <w:pStyle w:val="ListNumber"/>
      </w:pPr>
      <w:r>
        <w:t>Enable RLS and install provisional policy structure.</w:t>
      </w:r>
    </w:p>
    <w:p>
      <w:pPr>
        <w:pStyle w:val="ListNumber"/>
      </w:pPr>
      <w:r>
        <w:t>Reconcile/seed exact permissions only after direct permission-catalogue verification.</w:t>
      </w:r>
    </w:p>
    <w:p>
      <w:pPr>
        <w:pStyle w:val="ListNumber"/>
      </w:pPr>
      <w:r>
        <w:t>Run structural, referential, authorization and idempotency verification.</w:t>
      </w:r>
    </w:p>
    <w:p>
      <w:pPr>
        <w:pStyle w:val="ListNumber"/>
      </w:pPr>
      <w:r>
        <w:t>Only after successful verification, promote from review to execution.</w:t>
      </w:r>
    </w:p>
    <w:p>
      <w:pPr>
        <w:pStyle w:val="Heading1"/>
      </w:pPr>
      <w:r>
        <w:t>6. Candidate DDL — learning_sessions</w:t>
      </w:r>
    </w:p>
    <w:p>
      <w:r>
        <w:t>Candidate DDL is included in the companion SQL file. Exact enum-vs-text convention remains a review item; the draft uses TEXT + CHECK to minimize migration coupling with existing conventions.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Column</w:t>
            </w:r>
          </w:p>
        </w:tc>
        <w:tc>
          <w:tcPr>
            <w:tcW w:type="dxa" w:w="3360"/>
            <w:shd w:fill="D9EAF7"/>
          </w:tcPr>
          <w:p>
            <w:r>
              <w:t>Candidate definition</w:t>
            </w:r>
          </w:p>
        </w:tc>
        <w:tc>
          <w:tcPr>
            <w:tcW w:type="dxa" w:w="3360"/>
            <w:shd w:fill="D9EAF7"/>
          </w:tcPr>
          <w:p>
            <w:r>
              <w:t>Rule</w:t>
            </w:r>
          </w:p>
        </w:tc>
      </w:tr>
      <w:tr>
        <w:tc>
          <w:tcPr>
            <w:tcW w:type="dxa" w:w="3360"/>
          </w:tcPr>
          <w:p>
            <w:r>
              <w:t>id</w:t>
            </w:r>
          </w:p>
        </w:tc>
        <w:tc>
          <w:tcPr>
            <w:tcW w:type="dxa" w:w="3360"/>
          </w:tcPr>
          <w:p>
            <w:r>
              <w:t>UUID PK DEFAULT gen_random_uuid()</w:t>
            </w:r>
          </w:p>
        </w:tc>
        <w:tc>
          <w:tcPr>
            <w:tcW w:type="dxa" w:w="3360"/>
          </w:tcPr>
          <w:p>
            <w:r>
              <w:t>Provider-independent identity</w:t>
            </w:r>
          </w:p>
        </w:tc>
      </w:tr>
      <w:tr>
        <w:tc>
          <w:tcPr>
            <w:tcW w:type="dxa" w:w="3360"/>
          </w:tcPr>
          <w:p>
            <w:r>
              <w:t>owner_id</w:t>
            </w:r>
          </w:p>
        </w:tc>
        <w:tc>
          <w:tcPr>
            <w:tcW w:type="dxa" w:w="3360"/>
          </w:tcPr>
          <w:p>
            <w:r>
              <w:t>UUID NOT NULL FK users(id)</w:t>
            </w:r>
          </w:p>
        </w:tc>
        <w:tc>
          <w:tcPr>
            <w:tcW w:type="dxa" w:w="3360"/>
          </w:tcPr>
          <w:p>
            <w:r>
              <w:t>Hard ownership</w:t>
            </w:r>
          </w:p>
        </w:tc>
      </w:tr>
      <w:tr>
        <w:tc>
          <w:tcPr>
            <w:tcW w:type="dxa" w:w="3360"/>
          </w:tcPr>
          <w:p>
            <w:r>
              <w:t>course_id</w:t>
            </w:r>
          </w:p>
        </w:tc>
        <w:tc>
          <w:tcPr>
            <w:tcW w:type="dxa" w:w="3360"/>
          </w:tcPr>
          <w:p>
            <w:r>
              <w:t>UUID NULL FK courses(id) ON DELETE SET NULL</w:t>
            </w:r>
          </w:p>
        </w:tc>
        <w:tc>
          <w:tcPr>
            <w:tcW w:type="dxa" w:w="3360"/>
          </w:tcPr>
          <w:p>
            <w:r>
              <w:t>Optional course context</w:t>
            </w:r>
          </w:p>
        </w:tc>
      </w:tr>
      <w:tr>
        <w:tc>
          <w:tcPr>
            <w:tcW w:type="dxa" w:w="3360"/>
          </w:tcPr>
          <w:p>
            <w:r>
              <w:t>organization_id</w:t>
            </w:r>
          </w:p>
        </w:tc>
        <w:tc>
          <w:tcPr>
            <w:tcW w:type="dxa" w:w="3360"/>
          </w:tcPr>
          <w:p>
            <w:r>
              <w:t>UUID NULL FK organizations(id) ON DELETE SET NULL</w:t>
            </w:r>
          </w:p>
        </w:tc>
        <w:tc>
          <w:tcPr>
            <w:tcW w:type="dxa" w:w="3360"/>
          </w:tcPr>
          <w:p>
            <w:r>
              <w:t>Required when visibility=organization</w:t>
            </w:r>
          </w:p>
        </w:tc>
      </w:tr>
      <w:tr>
        <w:tc>
          <w:tcPr>
            <w:tcW w:type="dxa" w:w="3360"/>
          </w:tcPr>
          <w:p>
            <w:r>
              <w:t>event_id</w:t>
            </w:r>
          </w:p>
        </w:tc>
        <w:tc>
          <w:tcPr>
            <w:tcW w:type="dxa" w:w="3360"/>
          </w:tcPr>
          <w:p>
            <w:r>
              <w:t>UUID NULL FK events(id) ON DELETE SET NULL</w:t>
            </w:r>
          </w:p>
        </w:tc>
        <w:tc>
          <w:tcPr>
            <w:tcW w:type="dxa" w:w="3360"/>
          </w:tcPr>
          <w:p>
            <w:r>
              <w:t>Optional canonical Event</w:t>
            </w:r>
          </w:p>
        </w:tc>
      </w:tr>
      <w:tr>
        <w:tc>
          <w:tcPr>
            <w:tcW w:type="dxa" w:w="3360"/>
          </w:tcPr>
          <w:p>
            <w:r>
              <w:t>session_type</w:t>
            </w:r>
          </w:p>
        </w:tc>
        <w:tc>
          <w:tcPr>
            <w:tcW w:type="dxa" w:w="3360"/>
          </w:tcPr>
          <w:p>
            <w:r>
              <w:t>TEXT NOT NULL CHECK (...)</w:t>
            </w:r>
          </w:p>
        </w:tc>
        <w:tc>
          <w:tcPr>
            <w:tcW w:type="dxa" w:w="3360"/>
          </w:tcPr>
          <w:p>
            <w:r>
              <w:t>broadcast / interactive / on_demand</w:t>
            </w:r>
          </w:p>
        </w:tc>
      </w:tr>
      <w:tr>
        <w:tc>
          <w:tcPr>
            <w:tcW w:type="dxa" w:w="3360"/>
          </w:tcPr>
          <w:p>
            <w:r>
              <w:t>status</w:t>
            </w:r>
          </w:p>
        </w:tc>
        <w:tc>
          <w:tcPr>
            <w:tcW w:type="dxa" w:w="3360"/>
          </w:tcPr>
          <w:p>
            <w:r>
              <w:t>TEXT NOT NULL CHECK (...)</w:t>
            </w:r>
          </w:p>
        </w:tc>
        <w:tc>
          <w:tcPr>
            <w:tcW w:type="dxa" w:w="3360"/>
          </w:tcPr>
          <w:p>
            <w:r>
              <w:t>draft / scheduled / live / ended / cancelled / failed</w:t>
            </w:r>
          </w:p>
        </w:tc>
      </w:tr>
      <w:tr>
        <w:tc>
          <w:tcPr>
            <w:tcW w:type="dxa" w:w="3360"/>
          </w:tcPr>
          <w:p>
            <w:r>
              <w:t>start_at</w:t>
            </w:r>
          </w:p>
        </w:tc>
        <w:tc>
          <w:tcPr>
            <w:tcW w:type="dxa" w:w="3360"/>
          </w:tcPr>
          <w:p>
            <w:r>
              <w:t>TIMESTAMPTZ NOT NULL</w:t>
            </w:r>
          </w:p>
        </w:tc>
        <w:tc>
          <w:tcPr>
            <w:tcW w:type="dxa" w:w="3360"/>
          </w:tcPr>
          <w:p>
            <w:r>
              <w:t>Schedule</w:t>
            </w:r>
          </w:p>
        </w:tc>
      </w:tr>
      <w:tr>
        <w:tc>
          <w:tcPr>
            <w:tcW w:type="dxa" w:w="3360"/>
          </w:tcPr>
          <w:p>
            <w:r>
              <w:t>end_at</w:t>
            </w:r>
          </w:p>
        </w:tc>
        <w:tc>
          <w:tcPr>
            <w:tcW w:type="dxa" w:w="3360"/>
          </w:tcPr>
          <w:p>
            <w:r>
              <w:t>TIMESTAMPTZ NULL</w:t>
            </w:r>
          </w:p>
        </w:tc>
        <w:tc>
          <w:tcPr>
            <w:tcW w:type="dxa" w:w="3360"/>
          </w:tcPr>
          <w:p>
            <w:r>
              <w:t>End time</w:t>
            </w:r>
          </w:p>
        </w:tc>
      </w:tr>
      <w:tr>
        <w:tc>
          <w:tcPr>
            <w:tcW w:type="dxa" w:w="3360"/>
          </w:tcPr>
          <w:p>
            <w:r>
              <w:t>visibility</w:t>
            </w:r>
          </w:p>
        </w:tc>
        <w:tc>
          <w:tcPr>
            <w:tcW w:type="dxa" w:w="3360"/>
          </w:tcPr>
          <w:p>
            <w:r>
              <w:t>TEXT NOT NULL CHECK (...)</w:t>
            </w:r>
          </w:p>
        </w:tc>
        <w:tc>
          <w:tcPr>
            <w:tcW w:type="dxa" w:w="3360"/>
          </w:tcPr>
          <w:p>
            <w:r>
              <w:t>public / organization / partner / private</w:t>
            </w:r>
          </w:p>
        </w:tc>
      </w:tr>
      <w:tr>
        <w:tc>
          <w:tcPr>
            <w:tcW w:type="dxa" w:w="3360"/>
          </w:tcPr>
          <w:p>
            <w:r>
              <w:t>created_at</w:t>
            </w:r>
          </w:p>
        </w:tc>
        <w:tc>
          <w:tcPr>
            <w:tcW w:type="dxa" w:w="3360"/>
          </w:tcPr>
          <w:p>
            <w:r>
              <w:t>TIMESTAMPTZ NOT NULL DEFAULT now()</w:t>
            </w:r>
          </w:p>
        </w:tc>
        <w:tc>
          <w:tcPr>
            <w:tcW w:type="dxa" w:w="3360"/>
          </w:tcPr>
          <w:p>
            <w:r>
              <w:t>Audit</w:t>
            </w:r>
          </w:p>
        </w:tc>
      </w:tr>
      <w:tr>
        <w:tc>
          <w:tcPr>
            <w:tcW w:type="dxa" w:w="3360"/>
          </w:tcPr>
          <w:p>
            <w:r>
              <w:t>updated_at</w:t>
            </w:r>
          </w:p>
        </w:tc>
        <w:tc>
          <w:tcPr>
            <w:tcW w:type="dxa" w:w="3360"/>
          </w:tcPr>
          <w:p>
            <w:r>
              <w:t>TIMESTAMPTZ NOT NULL DEFAULT now()</w:t>
            </w:r>
          </w:p>
        </w:tc>
        <w:tc>
          <w:tcPr>
            <w:tcW w:type="dxa" w:w="3360"/>
          </w:tcPr>
          <w:p>
            <w:r>
              <w:t>Audit</w:t>
            </w:r>
          </w:p>
        </w:tc>
      </w:tr>
      <w:tr>
        <w:tc>
          <w:tcPr>
            <w:tcW w:type="dxa" w:w="3360"/>
          </w:tcPr>
          <w:p>
            <w:r>
              <w:t>deleted_at</w:t>
            </w:r>
          </w:p>
        </w:tc>
        <w:tc>
          <w:tcPr>
            <w:tcW w:type="dxa" w:w="3360"/>
          </w:tcPr>
          <w:p>
            <w:r>
              <w:t>TIMESTAMPTZ NULL</w:t>
            </w:r>
          </w:p>
        </w:tc>
        <w:tc>
          <w:tcPr>
            <w:tcW w:type="dxa" w:w="3360"/>
          </w:tcPr>
          <w:p>
            <w:r>
              <w:t>Soft-delete policy to be confirmed for Session</w:t>
            </w:r>
          </w:p>
        </w:tc>
      </w:tr>
    </w:tbl>
    <w:p>
      <w:pPr>
        <w:pStyle w:val="Heading1"/>
      </w:pPr>
      <w:r>
        <w:t>7. Candidate DDL — Session Supporting Resources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Table</w:t>
            </w:r>
          </w:p>
        </w:tc>
        <w:tc>
          <w:tcPr>
            <w:tcW w:type="dxa" w:w="3360"/>
            <w:shd w:fill="D9EAF7"/>
          </w:tcPr>
          <w:p>
            <w:r>
              <w:t>Core fields</w:t>
            </w:r>
          </w:p>
        </w:tc>
        <w:tc>
          <w:tcPr>
            <w:tcW w:type="dxa" w:w="3360"/>
            <w:shd w:fill="D9EAF7"/>
          </w:tcPr>
          <w:p>
            <w:r>
              <w:t>Integrity direction</w:t>
            </w:r>
          </w:p>
        </w:tc>
      </w:tr>
      <w:tr>
        <w:tc>
          <w:tcPr>
            <w:tcW w:type="dxa" w:w="3360"/>
          </w:tcPr>
          <w:p>
            <w:r>
              <w:t>session_enrollments</w:t>
            </w:r>
          </w:p>
        </w:tc>
        <w:tc>
          <w:tcPr>
            <w:tcW w:type="dxa" w:w="3360"/>
          </w:tcPr>
          <w:p>
            <w:r>
              <w:t>id, session_id, agent_id, status, activation_reference, requested_at, activated_at, completed_at, created_at, updated_at</w:t>
            </w:r>
          </w:p>
        </w:tc>
        <w:tc>
          <w:tcPr>
            <w:tcW w:type="dxa" w:w="3360"/>
          </w:tcPr>
          <w:p>
            <w:r>
              <w:t>Unique active enrollment per agent/session</w:t>
            </w:r>
          </w:p>
        </w:tc>
      </w:tr>
      <w:tr>
        <w:tc>
          <w:tcPr>
            <w:tcW w:type="dxa" w:w="3360"/>
          </w:tcPr>
          <w:p>
            <w:r>
              <w:t>session_provider_bindings</w:t>
            </w:r>
          </w:p>
        </w:tc>
        <w:tc>
          <w:tcPr>
            <w:tcW w:type="dxa" w:w="3360"/>
          </w:tcPr>
          <w:p>
            <w:r>
              <w:t>id, session_id, provider_key, external_provider_session_id, binding_state, effective_from, effective_to, created_at, updated_at</w:t>
            </w:r>
          </w:p>
        </w:tc>
        <w:tc>
          <w:tcPr>
            <w:tcW w:type="dxa" w:w="3360"/>
          </w:tcPr>
          <w:p>
            <w:r>
              <w:t>Provider switching preserves Session identity/history</w:t>
            </w:r>
          </w:p>
        </w:tc>
      </w:tr>
      <w:tr>
        <w:tc>
          <w:tcPr>
            <w:tcW w:type="dxa" w:w="3360"/>
          </w:tcPr>
          <w:p>
            <w:r>
              <w:t>session_participation_evidence</w:t>
            </w:r>
          </w:p>
        </w:tc>
        <w:tc>
          <w:tcPr>
            <w:tcW w:type="dxa" w:w="3360"/>
          </w:tcPr>
          <w:p>
            <w:r>
              <w:t>id, binding_id, session_enrollment_id, external_event_id, idempotency_key, observed_at, received_at, processed_at, payload_metadata</w:t>
            </w:r>
          </w:p>
        </w:tc>
        <w:tc>
          <w:tcPr>
            <w:tcW w:type="dxa" w:w="3360"/>
          </w:tcPr>
          <w:p>
            <w:r>
              <w:t>Idempotent provider evidence</w:t>
            </w:r>
          </w:p>
        </w:tc>
      </w:tr>
      <w:tr>
        <w:tc>
          <w:tcPr>
            <w:tcW w:type="dxa" w:w="3360"/>
          </w:tcPr>
          <w:p>
            <w:r>
              <w:t>session_attendance_evaluations</w:t>
            </w:r>
          </w:p>
        </w:tc>
        <w:tc>
          <w:tcPr>
            <w:tcW w:type="dxa" w:w="3360"/>
          </w:tcPr>
          <w:p>
            <w:r>
              <w:t>id, session_enrollment_id, evidence_id, policy_version, result, evaluated_at, created_at</w:t>
            </w:r>
          </w:p>
        </w:tc>
        <w:tc>
          <w:tcPr>
            <w:tcW w:type="dxa" w:w="3360"/>
          </w:tcPr>
          <w:p>
            <w:r>
              <w:t>RUMAHAGEN attendance authority</w:t>
            </w:r>
          </w:p>
        </w:tc>
      </w:tr>
      <w:tr>
        <w:tc>
          <w:tcPr>
            <w:tcW w:type="dxa" w:w="3360"/>
          </w:tcPr>
          <w:p>
            <w:r>
              <w:t>session_completion_outcomes</w:t>
            </w:r>
          </w:p>
        </w:tc>
        <w:tc>
          <w:tcPr>
            <w:tcW w:type="dxa" w:w="3360"/>
          </w:tcPr>
          <w:p>
            <w:r>
              <w:t>id, session_enrollment_id, attendance_evaluation_id, completion_policy_version, result, completed_at, created_at</w:t>
            </w:r>
          </w:p>
        </w:tc>
        <w:tc>
          <w:tcPr>
            <w:tcW w:type="dxa" w:w="3360"/>
          </w:tcPr>
          <w:p>
            <w:r>
              <w:t>Reconstructable completion</w:t>
            </w:r>
          </w:p>
        </w:tc>
      </w:tr>
      <w:tr>
        <w:tc>
          <w:tcPr>
            <w:tcW w:type="dxa" w:w="3360"/>
          </w:tcPr>
          <w:p>
            <w:r>
              <w:t>session_artifacts</w:t>
            </w:r>
          </w:p>
        </w:tc>
        <w:tc>
          <w:tcPr>
            <w:tcW w:type="dxa" w:w="3360"/>
          </w:tcPr>
          <w:p>
            <w:r>
              <w:t>id, session_id, artifact_type, provider_key, source_url/reference, status, created_at, updated_at</w:t>
            </w:r>
          </w:p>
        </w:tc>
        <w:tc>
          <w:tcPr>
            <w:tcW w:type="dxa" w:w="3360"/>
          </w:tcPr>
          <w:p>
            <w:r>
              <w:t>Reference-first recording/artifact</w:t>
            </w:r>
          </w:p>
        </w:tc>
      </w:tr>
    </w:tbl>
    <w:p>
      <w:pPr>
        <w:pStyle w:val="Heading1"/>
      </w:pPr>
      <w:r>
        <w:t>8. RLS / Authorization Draft</w:t>
      </w:r>
    </w:p>
    <w:p>
      <w:r>
        <w:t>The companion SQL includes a deliberately conservative RLS skeleton. It does not invent a new permission role. The policy structure separates owner access, public read, organization-context read and privileged all-scope operations. Exact permission assignments must be reconciled before enabling broad internal management paths.</w:t>
      </w:r>
    </w:p>
    <w:p>
      <w:pPr>
        <w:pStyle w:val="ListBullet"/>
      </w:pPr>
      <w:r>
        <w:t>PUBLIC read may be permitted for non-deleted, published/eligible Session rows according to final lifecycle policy.</w:t>
      </w:r>
    </w:p>
    <w:p>
      <w:pPr>
        <w:pStyle w:val="ListBullet"/>
      </w:pPr>
      <w:r>
        <w:t>Owner access remains own-resource access.</w:t>
      </w:r>
    </w:p>
    <w:p>
      <w:pPr>
        <w:pStyle w:val="ListBullet"/>
      </w:pPr>
      <w:r>
        <w:t>ORGANIZATION access checks authoritative organization_members membership.</w:t>
      </w:r>
    </w:p>
    <w:p>
      <w:pPr>
        <w:pStyle w:val="ListBullet"/>
      </w:pPr>
      <w:r>
        <w:t>PRIVATE access is not granted by visibility alone.</w:t>
      </w:r>
    </w:p>
    <w:p>
      <w:pPr>
        <w:pStyle w:val="ListBullet"/>
      </w:pPr>
      <w:r>
        <w:t>PARTNER visibility has no physical Partner relation in MVP and therefore must not receive a fabricated partner predicate.</w:t>
      </w:r>
    </w:p>
    <w:p>
      <w:pPr>
        <w:pStyle w:val="ListBullet"/>
      </w:pPr>
      <w:r>
        <w:t>Provider/evidence/attendance/completion tables inherit authorization from the Session/Enrollment context; provider identifiers are never authorization proof.</w:t>
      </w:r>
    </w:p>
    <w:p>
      <w:pPr>
        <w:pStyle w:val="Heading1"/>
      </w:pPr>
      <w:r>
        <w:t>9. Permission Gate</w:t>
      </w:r>
    </w:p>
    <w:p>
      <w:r>
        <w:t>AEP4 conceptual permissions include learning.session.read, learning.session.manage, learning.session.lifecycle, learning.session.enroll, learning.session.enrollment.read, learning.session.access, learning.session.provider.manage, learning.session.evidence.read, learning.session.attendance.review, learning.session.completion.evaluate, learning.session.artifact.read and learning.session.capability.read. These are semantic labels only. The source explicitly does not claim they already exist as final permission IDs.</w:t>
      </w:r>
    </w:p>
    <w:p>
      <w:r>
        <w:t>Therefore this migration package does not insert role_permissions rows. A separate catalogue reconciliation must map these capabilities to the actual current permission catalogue before authorization implementation.</w:t>
      </w:r>
    </w:p>
    <w:p>
      <w:pPr>
        <w:pStyle w:val="Heading1"/>
      </w:pPr>
      <w:r>
        <w:t>10. Validation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Validation</w:t>
            </w:r>
          </w:p>
        </w:tc>
        <w:tc>
          <w:tcPr>
            <w:tcW w:type="dxa" w:w="5040"/>
            <w:shd w:fill="D9EAF7"/>
          </w:tcPr>
          <w:p>
            <w:r>
              <w:t>Expected result</w:t>
            </w:r>
          </w:p>
        </w:tc>
      </w:tr>
      <w:tr>
        <w:tc>
          <w:tcPr>
            <w:tcW w:type="dxa" w:w="5040"/>
          </w:tcPr>
          <w:p>
            <w:r>
              <w:t>Table existence</w:t>
            </w:r>
          </w:p>
        </w:tc>
        <w:tc>
          <w:tcPr>
            <w:tcW w:type="dxa" w:w="5040"/>
          </w:tcPr>
          <w:p>
            <w:r>
              <w:t>All seven new Session resources exist.</w:t>
            </w:r>
          </w:p>
        </w:tc>
      </w:tr>
      <w:tr>
        <w:tc>
          <w:tcPr>
            <w:tcW w:type="dxa" w:w="5040"/>
          </w:tcPr>
          <w:p>
            <w:r>
              <w:t>PK/FK integrity</w:t>
            </w:r>
          </w:p>
        </w:tc>
        <w:tc>
          <w:tcPr>
            <w:tcW w:type="dxa" w:w="5040"/>
          </w:tcPr>
          <w:p>
            <w:r>
              <w:t>All approved FK references resolve; no orphan rows.</w:t>
            </w:r>
          </w:p>
        </w:tc>
      </w:tr>
      <w:tr>
        <w:tc>
          <w:tcPr>
            <w:tcW w:type="dxa" w:w="5040"/>
          </w:tcPr>
          <w:p>
            <w:r>
              <w:t>Session visibility/org check</w:t>
            </w:r>
          </w:p>
        </w:tc>
        <w:tc>
          <w:tcPr>
            <w:tcW w:type="dxa" w:w="5040"/>
          </w:tcPr>
          <w:p>
            <w:r>
              <w:t>ORGANIZATION visibility cannot persist without organization_id.</w:t>
            </w:r>
          </w:p>
        </w:tc>
      </w:tr>
      <w:tr>
        <w:tc>
          <w:tcPr>
            <w:tcW w:type="dxa" w:w="5040"/>
          </w:tcPr>
          <w:p>
            <w:r>
              <w:t>Session/Event optionality</w:t>
            </w:r>
          </w:p>
        </w:tc>
        <w:tc>
          <w:tcPr>
            <w:tcW w:type="dxa" w:w="5040"/>
          </w:tcPr>
          <w:p>
            <w:r>
              <w:t>Session can exist with NULL event_id.</w:t>
            </w:r>
          </w:p>
        </w:tc>
      </w:tr>
      <w:tr>
        <w:tc>
          <w:tcPr>
            <w:tcW w:type="dxa" w:w="5040"/>
          </w:tcPr>
          <w:p>
            <w:r>
              <w:t>Partner MVP isolation</w:t>
            </w:r>
          </w:p>
        </w:tc>
        <w:tc>
          <w:tcPr>
            <w:tcW w:type="dxa" w:w="5040"/>
          </w:tcPr>
          <w:p>
            <w:r>
              <w:t>No partner_id/session_partner physical structure exists.</w:t>
            </w:r>
          </w:p>
        </w:tc>
      </w:tr>
      <w:tr>
        <w:tc>
          <w:tcPr>
            <w:tcW w:type="dxa" w:w="5040"/>
          </w:tcPr>
          <w:p>
            <w:r>
              <w:t>Private MVP isolation</w:t>
            </w:r>
          </w:p>
        </w:tc>
        <w:tc>
          <w:tcPr>
            <w:tcW w:type="dxa" w:w="5040"/>
          </w:tcPr>
          <w:p>
            <w:r>
              <w:t>No session_audience/session_invitation physical structure exists.</w:t>
            </w:r>
          </w:p>
        </w:tc>
      </w:tr>
      <w:tr>
        <w:tc>
          <w:tcPr>
            <w:tcW w:type="dxa" w:w="5040"/>
          </w:tcPr>
          <w:p>
            <w:r>
              <w:t>Active enrollment uniqueness</w:t>
            </w:r>
          </w:p>
        </w:tc>
        <w:tc>
          <w:tcPr>
            <w:tcW w:type="dxa" w:w="5040"/>
          </w:tcPr>
          <w:p>
            <w:r>
              <w:t>One active enrollment max per agent/session.</w:t>
            </w:r>
          </w:p>
        </w:tc>
      </w:tr>
      <w:tr>
        <w:tc>
          <w:tcPr>
            <w:tcW w:type="dxa" w:w="5040"/>
          </w:tcPr>
          <w:p>
            <w:r>
              <w:t>Provider idempotency</w:t>
            </w:r>
          </w:p>
        </w:tc>
        <w:tc>
          <w:tcPr>
            <w:tcW w:type="dxa" w:w="5040"/>
          </w:tcPr>
          <w:p>
            <w:r>
              <w:t>Repeated same external event does not create duplicate evidence.</w:t>
            </w:r>
          </w:p>
        </w:tc>
      </w:tr>
      <w:tr>
        <w:tc>
          <w:tcPr>
            <w:tcW w:type="dxa" w:w="5040"/>
          </w:tcPr>
          <w:p>
            <w:r>
              <w:t>Provider switch history</w:t>
            </w:r>
          </w:p>
        </w:tc>
        <w:tc>
          <w:tcPr>
            <w:tcW w:type="dxa" w:w="5040"/>
          </w:tcPr>
          <w:p>
            <w:r>
              <w:t>Changing provider binding does not change learning_sessions.id.</w:t>
            </w:r>
          </w:p>
        </w:tc>
      </w:tr>
      <w:tr>
        <w:tc>
          <w:tcPr>
            <w:tcW w:type="dxa" w:w="5040"/>
          </w:tcPr>
          <w:p>
            <w:r>
              <w:t>RLS ownership</w:t>
            </w:r>
          </w:p>
        </w:tc>
        <w:tc>
          <w:tcPr>
            <w:tcW w:type="dxa" w:w="5040"/>
          </w:tcPr>
          <w:p>
            <w:r>
              <w:t>Agent cannot mutate another agent's Session resource unless explicitly authorized.</w:t>
            </w:r>
          </w:p>
        </w:tc>
      </w:tr>
      <w:tr>
        <w:tc>
          <w:tcPr>
            <w:tcW w:type="dxa" w:w="5040"/>
          </w:tcPr>
          <w:p>
            <w:r>
              <w:t>Organization RLS</w:t>
            </w:r>
          </w:p>
        </w:tc>
        <w:tc>
          <w:tcPr>
            <w:tcW w:type="dxa" w:w="5040"/>
          </w:tcPr>
          <w:p>
            <w:r>
              <w:t>Non-member cannot access organization-scoped Session data through client-supplied organization_id.</w:t>
            </w:r>
          </w:p>
        </w:tc>
      </w:tr>
      <w:tr>
        <w:tc>
          <w:tcPr>
            <w:tcW w:type="dxa" w:w="5040"/>
          </w:tcPr>
          <w:p>
            <w:r>
              <w:t>Host/Instructor separation</w:t>
            </w:r>
          </w:p>
        </w:tc>
        <w:tc>
          <w:tcPr>
            <w:tcW w:type="dxa" w:w="5040"/>
          </w:tcPr>
          <w:p>
            <w:r>
              <w:t>No policy grants Instructor provider/Host authority implicitly.</w:t>
            </w:r>
          </w:p>
        </w:tc>
      </w:tr>
      <w:tr>
        <w:tc>
          <w:tcPr>
            <w:tcW w:type="dxa" w:w="5040"/>
          </w:tcPr>
          <w:p>
            <w:r>
              <w:t>Legacy isolation</w:t>
            </w:r>
          </w:p>
        </w:tc>
        <w:tc>
          <w:tcPr>
            <w:tcW w:type="dxa" w:w="5040"/>
          </w:tcPr>
          <w:p>
            <w:r>
              <w:t>M04 enrollments and M05 event_registrations remain untouched.</w:t>
            </w:r>
          </w:p>
        </w:tc>
      </w:tr>
    </w:tbl>
    <w:p>
      <w:pPr>
        <w:pStyle w:val="Heading1"/>
      </w:pPr>
      <w:r>
        <w:t>11. Rollback Plan</w:t>
      </w:r>
    </w:p>
    <w:p>
      <w:pPr>
        <w:pStyle w:val="ListNumber"/>
      </w:pPr>
      <w:r>
        <w:t>Disable new Session APIs/feature flag before database rollback.</w:t>
      </w:r>
    </w:p>
    <w:p>
      <w:pPr>
        <w:pStyle w:val="ListNumber"/>
      </w:pPr>
      <w:r>
        <w:t>Stop provider ingestion into new Session resources.</w:t>
      </w:r>
    </w:p>
    <w:p>
      <w:pPr>
        <w:pStyle w:val="ListNumber"/>
      </w:pPr>
      <w:r>
        <w:t>Export/retain Session evidence if any non-production or staging data exists.</w:t>
      </w:r>
    </w:p>
    <w:p>
      <w:pPr>
        <w:pStyle w:val="ListNumber"/>
      </w:pPr>
      <w:r>
        <w:t>Drop RLS policies in reverse dependency order.</w:t>
      </w:r>
    </w:p>
    <w:p>
      <w:pPr>
        <w:pStyle w:val="ListNumber"/>
      </w:pPr>
      <w:r>
        <w:t>Drop child Session tables in reverse FK order.</w:t>
      </w:r>
    </w:p>
    <w:p>
      <w:pPr>
        <w:pStyle w:val="ListNumber"/>
      </w:pPr>
      <w:r>
        <w:t>Drop learning_sessions last.</w:t>
      </w:r>
    </w:p>
    <w:p>
      <w:pPr>
        <w:pStyle w:val="ListNumber"/>
      </w:pPr>
      <w:r>
        <w:t>Do not delete or alter existing M04/M05/Organization rows as part of Session rollback.</w:t>
      </w:r>
    </w:p>
    <w:p>
      <w:pPr>
        <w:pStyle w:val="ListNumber"/>
      </w:pPr>
      <w:r>
        <w:t>Re-run baseline smoke tests after rollback.</w:t>
      </w:r>
    </w:p>
    <w:p>
      <w:pPr>
        <w:pStyle w:val="Heading1"/>
      </w:pPr>
      <w:r>
        <w:t>12. Pre-Execution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Gate</w:t>
            </w:r>
          </w:p>
        </w:tc>
        <w:tc>
          <w:tcPr>
            <w:tcW w:type="dxa" w:w="2520"/>
            <w:shd w:fill="D9EAF7"/>
          </w:tcPr>
          <w:p>
            <w:r>
              <w:t>Status</w:t>
            </w:r>
          </w:p>
        </w:tc>
        <w:tc>
          <w:tcPr>
            <w:tcW w:type="dxa" w:w="2520"/>
            <w:shd w:fill="D9EAF7"/>
          </w:tcPr>
          <w:p>
            <w:r>
              <w:t>Blocking?</w:t>
            </w:r>
          </w:p>
        </w:tc>
        <w:tc>
          <w:tcPr>
            <w:tcW w:type="dxa" w:w="2520"/>
            <w:shd w:fill="D9EAF7"/>
          </w:tcPr>
          <w:p>
            <w:r>
              <w:t>Owner/action</w:t>
            </w:r>
          </w:p>
        </w:tc>
      </w:tr>
      <w:tr>
        <w:tc>
          <w:tcPr>
            <w:tcW w:type="dxa" w:w="2520"/>
          </w:tcPr>
          <w:p>
            <w:r>
              <w:t>TECH-08 relationship decisions</w:t>
            </w:r>
          </w:p>
        </w:tc>
        <w:tc>
          <w:tcPr>
            <w:tcW w:type="dxa" w:w="2520"/>
          </w:tcPr>
          <w:p>
            <w:r>
              <w:t>APPROVED</w:t>
            </w:r>
          </w:p>
        </w:tc>
        <w:tc>
          <w:tcPr>
            <w:tcW w:type="dxa" w:w="2520"/>
          </w:tcPr>
          <w:p>
            <w:r>
              <w:t>No</w:t>
            </w:r>
          </w:p>
        </w:tc>
        <w:tc>
          <w:tcPr>
            <w:tcW w:type="dxa" w:w="2520"/>
          </w:tcPr>
          <w:p>
            <w:r>
              <w:t>Locked</w:t>
            </w:r>
          </w:p>
        </w:tc>
      </w:tr>
      <w:tr>
        <w:tc>
          <w:tcPr>
            <w:tcW w:type="dxa" w:w="2520"/>
          </w:tcPr>
          <w:p>
            <w:r>
              <w:t>TECH-09 physical delta</w:t>
            </w:r>
          </w:p>
        </w:tc>
        <w:tc>
          <w:tcPr>
            <w:tcW w:type="dxa" w:w="2520"/>
          </w:tcPr>
          <w:p>
            <w:r>
              <w:t>APPROVED</w:t>
            </w:r>
          </w:p>
        </w:tc>
        <w:tc>
          <w:tcPr>
            <w:tcW w:type="dxa" w:w="2520"/>
          </w:tcPr>
          <w:p>
            <w:r>
              <w:t>No</w:t>
            </w:r>
          </w:p>
        </w:tc>
        <w:tc>
          <w:tcPr>
            <w:tcW w:type="dxa" w:w="2520"/>
          </w:tcPr>
          <w:p>
            <w:r>
              <w:t>Locked</w:t>
            </w:r>
          </w:p>
        </w:tc>
      </w:tr>
      <w:tr>
        <w:tc>
          <w:tcPr>
            <w:tcW w:type="dxa" w:w="2520"/>
          </w:tcPr>
          <w:p>
            <w:r>
              <w:t>TECH-10 baseline verification</w:t>
            </w:r>
          </w:p>
        </w:tc>
        <w:tc>
          <w:tcPr>
            <w:tcW w:type="dxa" w:w="2520"/>
          </w:tcPr>
          <w:p>
            <w:r>
              <w:t>PASS</w:t>
            </w:r>
          </w:p>
        </w:tc>
        <w:tc>
          <w:tcPr>
            <w:tcW w:type="dxa" w:w="2520"/>
          </w:tcPr>
          <w:p>
            <w:r>
              <w:t>No</w:t>
            </w:r>
          </w:p>
        </w:tc>
        <w:tc>
          <w:tcPr>
            <w:tcW w:type="dxa" w:w="2520"/>
          </w:tcPr>
          <w:p>
            <w:r>
              <w:t>Verified</w:t>
            </w:r>
          </w:p>
        </w:tc>
      </w:tr>
      <w:tr>
        <w:tc>
          <w:tcPr>
            <w:tcW w:type="dxa" w:w="2520"/>
          </w:tcPr>
          <w:p>
            <w:r>
              <w:t>Exact permission catalogue mapping</w:t>
            </w:r>
          </w:p>
        </w:tc>
        <w:tc>
          <w:tcPr>
            <w:tcW w:type="dxa" w:w="2520"/>
          </w:tcPr>
          <w:p>
            <w:r>
              <w:t>CONTROLLED OPEN</w:t>
            </w:r>
          </w:p>
        </w:tc>
        <w:tc>
          <w:tcPr>
            <w:tcW w:type="dxa" w:w="2520"/>
          </w:tcPr>
          <w:p>
            <w:r>
              <w:t>YES for authorization implementation</w:t>
            </w:r>
          </w:p>
        </w:tc>
        <w:tc>
          <w:tcPr>
            <w:tcW w:type="dxa" w:w="2520"/>
          </w:tcPr>
          <w:p>
            <w:r>
              <w:t>Reconcile actual catalogue</w:t>
            </w:r>
          </w:p>
        </w:tc>
      </w:tr>
      <w:tr>
        <w:tc>
          <w:tcPr>
            <w:tcW w:type="dxa" w:w="2520"/>
          </w:tcPr>
          <w:p>
            <w:r>
              <w:t>Attendance policy/formula</w:t>
            </w:r>
          </w:p>
        </w:tc>
        <w:tc>
          <w:tcPr>
            <w:tcW w:type="dxa" w:w="2520"/>
          </w:tcPr>
          <w:p>
            <w:r>
              <w:t>OPEN</w:t>
            </w:r>
          </w:p>
        </w:tc>
        <w:tc>
          <w:tcPr>
            <w:tcW w:type="dxa" w:w="2520"/>
          </w:tcPr>
          <w:p>
            <w:r>
              <w:t>NO for base schema; YES for final attendance behavior</w:t>
            </w:r>
          </w:p>
        </w:tc>
        <w:tc>
          <w:tcPr>
            <w:tcW w:type="dxa" w:w="2520"/>
          </w:tcPr>
          <w:p>
            <w:r>
              <w:t>Business rule gate</w:t>
            </w:r>
          </w:p>
        </w:tc>
      </w:tr>
      <w:tr>
        <w:tc>
          <w:tcPr>
            <w:tcW w:type="dxa" w:w="2520"/>
          </w:tcPr>
          <w:p>
            <w:r>
              <w:t>Capacity policy</w:t>
            </w:r>
          </w:p>
        </w:tc>
        <w:tc>
          <w:tcPr>
            <w:tcW w:type="dxa" w:w="2520"/>
          </w:tcPr>
          <w:p>
            <w:r>
              <w:t>OPEN</w:t>
            </w:r>
          </w:p>
        </w:tc>
        <w:tc>
          <w:tcPr>
            <w:tcW w:type="dxa" w:w="2520"/>
          </w:tcPr>
          <w:p>
            <w:r>
              <w:t>NO for base schema; YES for capacity enforcement</w:t>
            </w:r>
          </w:p>
        </w:tc>
        <w:tc>
          <w:tcPr>
            <w:tcW w:type="dxa" w:w="2520"/>
          </w:tcPr>
          <w:p>
            <w:r>
              <w:t>AEP4 capacity gate</w:t>
            </w:r>
          </w:p>
        </w:tc>
      </w:tr>
      <w:tr>
        <w:tc>
          <w:tcPr>
            <w:tcW w:type="dxa" w:w="2520"/>
          </w:tcPr>
          <w:p>
            <w:r>
              <w:t>Recording retention/privacy</w:t>
            </w:r>
          </w:p>
        </w:tc>
        <w:tc>
          <w:tcPr>
            <w:tcW w:type="dxa" w:w="2520"/>
          </w:tcPr>
          <w:p>
            <w:r>
              <w:t>OPEN</w:t>
            </w:r>
          </w:p>
        </w:tc>
        <w:tc>
          <w:tcPr>
            <w:tcW w:type="dxa" w:w="2520"/>
          </w:tcPr>
          <w:p>
            <w:r>
              <w:t>NO for reference schema; YES for policy enforcement</w:t>
            </w:r>
          </w:p>
        </w:tc>
        <w:tc>
          <w:tcPr>
            <w:tcW w:type="dxa" w:w="2520"/>
          </w:tcPr>
          <w:p>
            <w:r>
              <w:t>Media policy gate</w:t>
            </w:r>
          </w:p>
        </w:tc>
      </w:tr>
      <w:tr>
        <w:tc>
          <w:tcPr>
            <w:tcW w:type="dxa" w:w="2520"/>
          </w:tcPr>
          <w:p>
            <w:r>
              <w:t>Provider API/OAuth exact contracts</w:t>
            </w:r>
          </w:p>
        </w:tc>
        <w:tc>
          <w:tcPr>
            <w:tcW w:type="dxa" w:w="2520"/>
          </w:tcPr>
          <w:p>
            <w:r>
              <w:t>OPEN</w:t>
            </w:r>
          </w:p>
        </w:tc>
        <w:tc>
          <w:tcPr>
            <w:tcW w:type="dxa" w:w="2520"/>
          </w:tcPr>
          <w:p>
            <w:r>
              <w:t>NO for provider-neutral schema; YES for adapter implementation</w:t>
            </w:r>
          </w:p>
        </w:tc>
        <w:tc>
          <w:tcPr>
            <w:tcW w:type="dxa" w:w="2520"/>
          </w:tcPr>
          <w:p>
            <w:r>
              <w:t>Provider gate</w:t>
            </w:r>
          </w:p>
        </w:tc>
      </w:tr>
      <w:tr>
        <w:tc>
          <w:tcPr>
            <w:tcW w:type="dxa" w:w="2520"/>
          </w:tcPr>
          <w:p>
            <w:r>
              <w:t>Production migration authorization</w:t>
            </w:r>
          </w:p>
        </w:tc>
        <w:tc>
          <w:tcPr>
            <w:tcW w:type="dxa" w:w="2520"/>
          </w:tcPr>
          <w:p>
            <w:r>
              <w:t>NOT GRANTED</w:t>
            </w:r>
          </w:p>
        </w:tc>
        <w:tc>
          <w:tcPr>
            <w:tcW w:type="dxa" w:w="2520"/>
          </w:tcPr>
          <w:p>
            <w:r>
              <w:t>YES</w:t>
            </w:r>
          </w:p>
        </w:tc>
        <w:tc>
          <w:tcPr>
            <w:tcW w:type="dxa" w:w="2520"/>
          </w:tcPr>
          <w:p>
            <w:r>
              <w:t>Explicit user approval after review</w:t>
            </w:r>
          </w:p>
        </w:tc>
      </w:tr>
    </w:tbl>
    <w:p>
      <w:pPr>
        <w:pStyle w:val="Heading1"/>
      </w:pPr>
      <w:r>
        <w:t>13. Gate Result</w:t>
      </w:r>
    </w:p>
    <w:p>
      <w:r>
        <w:t>TECH-11 = REVIEW-READY DRAFT. The migration package is concrete enough for technical review and test execution planning, but production execution is not authorized. The only material implementation blocker for the Session schema itself is not the approved relationship model; it is the final permission catalogue mapping and the policy gates that control behavior.</w:t>
      </w:r>
    </w:p>
    <w:p>
      <w:pPr>
        <w:pStyle w:val="Heading1"/>
      </w:pPr>
      <w:r>
        <w:t>14. Next Step — TECH-12</w:t>
      </w:r>
    </w:p>
    <w:p>
      <w:r>
        <w:t>TECH-12 — Migration Verification / Dry-Run Review. It should validate the draft against the exact current database conventions, identify SQL-level incompatibilities, resolve any remaining permission/policy gates that are necessary for safe RLS, and produce a final execution candidate. No production execution occurs unless explicitly authorized.</w:t>
      </w:r>
    </w:p>
    <w:p>
      <w:pPr>
        <w:pStyle w:val="Heading1"/>
      </w:pPr>
      <w:r>
        <w:t>15. Traceability</w:t>
      </w:r>
    </w:p>
    <w:p>
      <w:pPr>
        <w:pStyle w:val="ListBullet"/>
      </w:pPr>
      <w:r>
        <w:t>Database-Migration-Full-v1_0.sql</w:t>
      </w:r>
    </w:p>
    <w:p>
      <w:pPr>
        <w:pStyle w:val="ListBullet"/>
      </w:pPr>
      <w:r>
        <w:t>0002_m10_rbac_foundation.sql</w:t>
      </w:r>
    </w:p>
    <w:p>
      <w:pPr>
        <w:pStyle w:val="ListBullet"/>
      </w:pPr>
      <w:r>
        <w:t>0007_m12_organization-FIXED.sql</w:t>
      </w:r>
    </w:p>
    <w:p>
      <w:pPr>
        <w:pStyle w:val="ListBullet"/>
      </w:pPr>
      <w:r>
        <w:t>0010_m05_events-FIXED.sql</w:t>
      </w:r>
    </w:p>
    <w:p>
      <w:pPr>
        <w:pStyle w:val="ListBullet"/>
      </w:pPr>
      <w:r>
        <w:t>AEP4 STEP-07 Logical Schema/Data Dictionary Impact</w:t>
      </w:r>
    </w:p>
    <w:p>
      <w:pPr>
        <w:pStyle w:val="ListBullet"/>
      </w:pPr>
      <w:r>
        <w:t>AEP4 STEP-08 Provider Adapter Integration Contract</w:t>
      </w:r>
    </w:p>
    <w:p>
      <w:pPr>
        <w:pStyle w:val="ListBullet"/>
      </w:pPr>
      <w:r>
        <w:t>AEP4 STEP-10 RBAC Permission Impact</w:t>
      </w:r>
    </w:p>
    <w:p>
      <w:pPr>
        <w:pStyle w:val="ListBullet"/>
      </w:pPr>
      <w:r>
        <w:t>TECH-08 / TECH-09 / TECH-10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