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TECH-12</w:t>
      </w:r>
    </w:p>
    <w:p>
      <w:pPr>
        <w:jc w:val="center"/>
      </w:pPr>
      <w:r>
        <w:rPr>
          <w:i/>
        </w:rPr>
        <w:t>Migration Verification / Dry-Run Review</w:t>
      </w:r>
    </w:p>
    <w:p>
      <w:r>
        <w:rPr>
          <w:b/>
        </w:rPr>
        <w:t xml:space="preserve">Status: </w:t>
      </w:r>
      <w:r>
        <w:t>PASS WITH REMEDIATION — SQL DRAFT REQUIRES CONTROLLED FIXES BEFORE EXECUTION</w:t>
      </w:r>
    </w:p>
    <w:p>
      <w:pPr>
        <w:pStyle w:val="Heading1"/>
      </w:pPr>
      <w:r>
        <w:t>1. Scope</w:t>
      </w:r>
    </w:p>
    <w:p>
      <w:r>
        <w:t>TECH-12 reviews TECH-11's migration draft against the exact source migration conventions retrievable in the project folder. A live PostgreSQL execution was not possible in the available runtime because no PostgreSQL client/server is installed. Therefore this is a static SQL/semantic dry-run, not an executed database test.</w:t>
      </w:r>
    </w:p>
    <w:p>
      <w:pPr>
        <w:pStyle w:val="Heading1"/>
      </w:pPr>
      <w:r>
        <w:t>2. Source Files Used</w:t>
      </w:r>
    </w:p>
    <w:p>
      <w:pPr>
        <w:pStyle w:val="ListBullet"/>
      </w:pPr>
      <w:r>
        <w:t>Database-Migration-Full-v1_0__1_.sql — assembled M01–M13 baseline.</w:t>
      </w:r>
    </w:p>
    <w:p>
      <w:pPr>
        <w:pStyle w:val="ListBullet"/>
      </w:pPr>
      <w:r>
        <w:t>0002_m10_rbac_foundation__1_.sql — RBAC/RLS conventions and permission catalogue structure.</w:t>
      </w:r>
    </w:p>
    <w:p>
      <w:pPr>
        <w:pStyle w:val="ListBullet"/>
      </w:pPr>
      <w:r>
        <w:t>0007_m12_organization-FIXED.sql — Organization membership/RLS model.</w:t>
      </w:r>
    </w:p>
    <w:p>
      <w:pPr>
        <w:pStyle w:val="ListBullet"/>
      </w:pPr>
      <w:r>
        <w:t>0010_m05_events-FIXED.sql — Event/EventRegistration model and RLS.</w:t>
      </w:r>
    </w:p>
    <w:p>
      <w:pPr>
        <w:pStyle w:val="ListBullet"/>
      </w:pPr>
      <w:r>
        <w:t>0009_m04_learning_center__1_.sql — Course/Enrollment/Certificate model.</w:t>
      </w:r>
    </w:p>
    <w:p>
      <w:pPr>
        <w:pStyle w:val="ListBullet"/>
      </w:pPr>
      <w:r>
        <w:t>TECH-11 Migration Specification &amp; Verification Package and SQL draft.</w:t>
      </w:r>
    </w:p>
    <w:p>
      <w:pPr>
        <w:pStyle w:val="ListBullet"/>
      </w:pPr>
      <w:r>
        <w:t>AEP4 STEP-07/08/10 artifacts referenced by TECH-11.</w:t>
      </w:r>
    </w:p>
    <w:p>
      <w:pPr>
        <w:pStyle w:val="Heading1"/>
      </w:pPr>
      <w:r>
        <w:t>3. Verified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Check</w:t>
            </w:r>
          </w:p>
        </w:tc>
        <w:tc>
          <w:tcPr>
            <w:tcW w:type="dxa" w:w="3360"/>
            <w:shd w:fill="D9EAF7"/>
          </w:tcPr>
          <w:p>
            <w:r>
              <w:t>Result</w:t>
            </w:r>
          </w:p>
        </w:tc>
        <w:tc>
          <w:tcPr>
            <w:tcW w:type="dxa" w:w="3360"/>
            <w:shd w:fill="D9EAF7"/>
          </w:tcPr>
          <w:p>
            <w:r>
              <w:t>Evidence/observation</w:t>
            </w:r>
          </w:p>
        </w:tc>
      </w:tr>
      <w:tr>
        <w:tc>
          <w:tcPr>
            <w:tcW w:type="dxa" w:w="3360"/>
          </w:tcPr>
          <w:p>
            <w:r>
              <w:t>UUID identity convention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Existing M01–M13 tables use UUID + gen_random_uuid().</w:t>
            </w:r>
          </w:p>
        </w:tc>
      </w:tr>
      <w:tr>
        <w:tc>
          <w:tcPr>
            <w:tcW w:type="dxa" w:w="3360"/>
          </w:tcPr>
          <w:p>
            <w:r>
              <w:t>TIMESTAMPTZ audit convention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Existing core tables use created_at/updated_at TIMESTAMPTZ.</w:t>
            </w:r>
          </w:p>
        </w:tc>
      </w:tr>
      <w:tr>
        <w:tc>
          <w:tcPr>
            <w:tcW w:type="dxa" w:w="3360"/>
          </w:tcPr>
          <w:p>
            <w:r>
              <w:t>Existing Organization FK target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organizations.id and organization_members.agent_id are UUID.</w:t>
            </w:r>
          </w:p>
        </w:tc>
      </w:tr>
      <w:tr>
        <w:tc>
          <w:tcPr>
            <w:tcW w:type="dxa" w:w="3360"/>
          </w:tcPr>
          <w:p>
            <w:r>
              <w:t>Existing Event FK target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events.id is UUID; event_registrations remains separate.</w:t>
            </w:r>
          </w:p>
        </w:tc>
      </w:tr>
      <w:tr>
        <w:tc>
          <w:tcPr>
            <w:tcW w:type="dxa" w:w="3360"/>
          </w:tcPr>
          <w:p>
            <w:r>
              <w:t>RLS role names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Source uses anon/authenticated policies.</w:t>
            </w:r>
          </w:p>
        </w:tc>
      </w:tr>
      <w:tr>
        <w:tc>
          <w:tcPr>
            <w:tcW w:type="dxa" w:w="3360"/>
          </w:tcPr>
          <w:p>
            <w:r>
              <w:t>auth.uid() identity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users.id is documented as auth.uid().</w:t>
            </w:r>
          </w:p>
        </w:tc>
      </w:tr>
      <w:tr>
        <w:tc>
          <w:tcPr>
            <w:tcW w:type="dxa" w:w="3360"/>
          </w:tcPr>
          <w:p>
            <w:r>
              <w:t>RBAC helper availability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Baseline contains auth_has_scope_all() and related auth helpers.</w:t>
            </w:r>
          </w:p>
        </w:tc>
      </w:tr>
      <w:tr>
        <w:tc>
          <w:tcPr>
            <w:tcW w:type="dxa" w:w="3360"/>
          </w:tcPr>
          <w:p>
            <w:r>
              <w:t>No repurpose of M04/M05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Draft adds new Session resources.</w:t>
            </w:r>
          </w:p>
        </w:tc>
      </w:tr>
    </w:tbl>
    <w:p>
      <w:pPr>
        <w:pStyle w:val="Heading1"/>
      </w:pPr>
      <w:r>
        <w:t>4. Findings Requiring Remediation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ID</w:t>
            </w:r>
          </w:p>
        </w:tc>
        <w:tc>
          <w:tcPr>
            <w:tcW w:type="dxa" w:w="2016"/>
            <w:shd w:fill="D9EAF7"/>
          </w:tcPr>
          <w:p>
            <w:r>
              <w:t>Severity</w:t>
            </w:r>
          </w:p>
        </w:tc>
        <w:tc>
          <w:tcPr>
            <w:tcW w:type="dxa" w:w="2016"/>
            <w:shd w:fill="D9EAF7"/>
          </w:tcPr>
          <w:p>
            <w:r>
              <w:t>Finding</w:t>
            </w:r>
          </w:p>
        </w:tc>
        <w:tc>
          <w:tcPr>
            <w:tcW w:type="dxa" w:w="2016"/>
            <w:shd w:fill="D9EAF7"/>
          </w:tcPr>
          <w:p>
            <w:r>
              <w:t>Impact</w:t>
            </w:r>
          </w:p>
        </w:tc>
        <w:tc>
          <w:tcPr>
            <w:tcW w:type="dxa" w:w="2016"/>
            <w:shd w:fill="D9EAF7"/>
          </w:tcPr>
          <w:p>
            <w:r>
              <w:t>Disposition</w:t>
            </w:r>
          </w:p>
        </w:tc>
      </w:tr>
      <w:tr>
        <w:tc>
          <w:tcPr>
            <w:tcW w:type="dxa" w:w="2016"/>
          </w:tcPr>
          <w:p>
            <w:r>
              <w:t>T12-01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session_enrollments policy FOR ALL allows learner to mutate lifecycle/status.</w:t>
            </w:r>
          </w:p>
        </w:tc>
        <w:tc>
          <w:tcPr>
            <w:tcW w:type="dxa" w:w="2016"/>
          </w:tcPr>
          <w:p>
            <w:r>
              <w:t>Learner could self-change pending/active/completed, violating server-controlled lifecycle.</w:t>
            </w:r>
          </w:p>
        </w:tc>
        <w:tc>
          <w:tcPr>
            <w:tcW w:type="dxa" w:w="2016"/>
          </w:tcPr>
          <w:p>
            <w:r>
              <w:t>FIX REQUIRED</w:t>
            </w:r>
          </w:p>
        </w:tc>
      </w:tr>
      <w:tr>
        <w:tc>
          <w:tcPr>
            <w:tcW w:type="dxa" w:w="2016"/>
          </w:tcPr>
          <w:p>
            <w:r>
              <w:t>T12-02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learning_sessions owner INSERT/UPDATE policies do not verify Organization membership when visibility=organization.</w:t>
            </w:r>
          </w:p>
        </w:tc>
        <w:tc>
          <w:tcPr>
            <w:tcW w:type="dxa" w:w="2016"/>
          </w:tcPr>
          <w:p>
            <w:r>
              <w:t>Owner could bind a Session to an Organization they do not belong to.</w:t>
            </w:r>
          </w:p>
        </w:tc>
        <w:tc>
          <w:tcPr>
            <w:tcW w:type="dxa" w:w="2016"/>
          </w:tcPr>
          <w:p>
            <w:r>
              <w:t>FIX REQUIRED</w:t>
            </w:r>
          </w:p>
        </w:tc>
      </w:tr>
      <w:tr>
        <w:tc>
          <w:tcPr>
            <w:tcW w:type="dxa" w:w="2016"/>
          </w:tcPr>
          <w:p>
            <w:r>
              <w:t>T12-03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session_provider_bindings has no active-binding uniqueness/conflict constraint.</w:t>
            </w:r>
          </w:p>
        </w:tc>
        <w:tc>
          <w:tcPr>
            <w:tcW w:type="dxa" w:w="2016"/>
          </w:tcPr>
          <w:p>
            <w:r>
              <w:t>Two simultaneous active provider bindings can exist, undermining provider switching invariant.</w:t>
            </w:r>
          </w:p>
        </w:tc>
        <w:tc>
          <w:tcPr>
            <w:tcW w:type="dxa" w:w="2016"/>
          </w:tcPr>
          <w:p>
            <w:r>
              <w:t>FIX REQUIRED</w:t>
            </w:r>
          </w:p>
        </w:tc>
      </w:tr>
      <w:tr>
        <w:tc>
          <w:tcPr>
            <w:tcW w:type="dxa" w:w="2016"/>
          </w:tcPr>
          <w:p>
            <w:r>
              <w:t>T12-04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2016"/>
          </w:tcPr>
          <w:p>
            <w:r>
              <w:t>SQL uses CREATE TABLE IF NOT EXISTS but ADD CONSTRAINT / CREATE POLICY are not fully idempotent.</w:t>
            </w:r>
          </w:p>
        </w:tc>
        <w:tc>
          <w:tcPr>
            <w:tcW w:type="dxa" w:w="2016"/>
          </w:tcPr>
          <w:p>
            <w:r>
              <w:t>Partial rerun can fail or create migration uncertainty.</w:t>
            </w:r>
          </w:p>
        </w:tc>
        <w:tc>
          <w:tcPr>
            <w:tcW w:type="dxa" w:w="2016"/>
          </w:tcPr>
          <w:p>
            <w:r>
              <w:t>FIX REQUIRED FOR REVIEW PACKAGE</w:t>
            </w:r>
          </w:p>
        </w:tc>
      </w:tr>
      <w:tr>
        <w:tc>
          <w:tcPr>
            <w:tcW w:type="dxa" w:w="2016"/>
          </w:tcPr>
          <w:p>
            <w:r>
              <w:t>T12-05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2016"/>
          </w:tcPr>
          <w:p>
            <w:r>
              <w:t>session_enrollments unique index blocks duplicate PENDING as well as ACTIVE.</w:t>
            </w:r>
          </w:p>
        </w:tc>
        <w:tc>
          <w:tcPr>
            <w:tcW w:type="dxa" w:w="2016"/>
          </w:tcPr>
          <w:p>
            <w:r>
              <w:t>This may be acceptable, but the documented invariant is 'unique active enrollment'; semantics should be explicit.</w:t>
            </w:r>
          </w:p>
        </w:tc>
        <w:tc>
          <w:tcPr>
            <w:tcW w:type="dxa" w:w="2016"/>
          </w:tcPr>
          <w:p>
            <w:r>
              <w:t>CLARIFY IN SPEC / KEEP MVP SIMPLE</w:t>
            </w:r>
          </w:p>
        </w:tc>
      </w:tr>
      <w:tr>
        <w:tc>
          <w:tcPr>
            <w:tcW w:type="dxa" w:w="2016"/>
          </w:tcPr>
          <w:p>
            <w:r>
              <w:t>T12-06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2016"/>
          </w:tcPr>
          <w:p>
            <w:r>
              <w:t>Partner visibility has no physical partner relation, so non-owner discovery/access is intentionally unavailable in MVP.</w:t>
            </w:r>
          </w:p>
        </w:tc>
        <w:tc>
          <w:tcPr>
            <w:tcW w:type="dxa" w:w="2016"/>
          </w:tcPr>
          <w:p>
            <w:r>
              <w:t>PARTNER enum can exist but has no resolved partner authorization path.</w:t>
            </w:r>
          </w:p>
        </w:tc>
        <w:tc>
          <w:tcPr>
            <w:tcW w:type="dxa" w:w="2016"/>
          </w:tcPr>
          <w:p>
            <w:r>
              <w:t>ACCEPTED CONTROLLED LIMITATION</w:t>
            </w:r>
          </w:p>
        </w:tc>
      </w:tr>
      <w:tr>
        <w:tc>
          <w:tcPr>
            <w:tcW w:type="dxa" w:w="2016"/>
          </w:tcPr>
          <w:p>
            <w:r>
              <w:t>T12-07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2016"/>
          </w:tcPr>
          <w:p>
            <w:r>
              <w:t>Completion outcome is not yet connected physically to Learning Activity.</w:t>
            </w:r>
          </w:p>
        </w:tc>
        <w:tc>
          <w:tcPr>
            <w:tcW w:type="dxa" w:w="2016"/>
          </w:tcPr>
          <w:p>
            <w:r>
              <w:t>MADCR-049 semantic decision is approved but physical Activity boundary remains downstream.</w:t>
            </w:r>
          </w:p>
        </w:tc>
        <w:tc>
          <w:tcPr>
            <w:tcW w:type="dxa" w:w="2016"/>
          </w:tcPr>
          <w:p>
            <w:r>
              <w:t>DEFERRED</w:t>
            </w:r>
          </w:p>
        </w:tc>
      </w:tr>
      <w:tr>
        <w:tc>
          <w:tcPr>
            <w:tcW w:type="dxa" w:w="2016"/>
          </w:tcPr>
          <w:p>
            <w:r>
              <w:t>T12-08</w:t>
            </w:r>
          </w:p>
        </w:tc>
        <w:tc>
          <w:tcPr>
            <w:tcW w:type="dxa" w:w="2016"/>
          </w:tcPr>
          <w:p>
            <w:r>
              <w:t>LOW</w:t>
            </w:r>
          </w:p>
        </w:tc>
        <w:tc>
          <w:tcPr>
            <w:tcW w:type="dxa" w:w="2016"/>
          </w:tcPr>
          <w:p>
            <w:r>
              <w:t>No live PostgreSQL dry-run available in runtime.</w:t>
            </w:r>
          </w:p>
        </w:tc>
        <w:tc>
          <w:tcPr>
            <w:tcW w:type="dxa" w:w="2016"/>
          </w:tcPr>
          <w:p>
            <w:r>
              <w:t>Cannot claim executed syntax/RLS verification.</w:t>
            </w:r>
          </w:p>
        </w:tc>
        <w:tc>
          <w:tcPr>
            <w:tcW w:type="dxa" w:w="2016"/>
          </w:tcPr>
          <w:p>
            <w:r>
              <w:t>DISCLOSE</w:t>
            </w:r>
          </w:p>
        </w:tc>
      </w:tr>
    </w:tbl>
    <w:p>
      <w:pPr>
        <w:pStyle w:val="Heading1"/>
      </w:pPr>
      <w:r>
        <w:t>5. Remediation Design</w:t>
      </w:r>
    </w:p>
    <w:p>
      <w:pPr>
        <w:pStyle w:val="ListBullet"/>
      </w:pPr>
      <w:r>
        <w:t>Separate Session Enrollment SELECT/INSERT from lifecycle UPDATE. Learner can request/create their own enrollment if product flow permits, but lifecycle transition must be server-authorized; no generic learner UPDATE policy.</w:t>
      </w:r>
    </w:p>
    <w:p>
      <w:pPr>
        <w:pStyle w:val="ListBullet"/>
      </w:pPr>
      <w:r>
        <w:t>Add Organization membership checks to Session INSERT/UPDATE when visibility=organization. Client-supplied organization_id is never proof of authority.</w:t>
      </w:r>
    </w:p>
    <w:p>
      <w:pPr>
        <w:pStyle w:val="ListBullet"/>
      </w:pPr>
      <w:r>
        <w:t>Add a partial unique index preventing more than one active provider binding per Session. Historical ended/replaced bindings remain allowed.</w:t>
      </w:r>
    </w:p>
    <w:p>
      <w:pPr>
        <w:pStyle w:val="ListBullet"/>
      </w:pPr>
      <w:r>
        <w:t>Use a migration guard block for policy creation or explicitly require one-time migration execution. The remediation package uses DROP POLICY IF EXISTS before CREATE POLICY for the new tables to make review reruns safer.</w:t>
      </w:r>
    </w:p>
    <w:p>
      <w:pPr>
        <w:pStyle w:val="ListBullet"/>
      </w:pPr>
      <w:r>
        <w:t>Keep the current MVP decision that no Partner table/pivot and no Private Audience table are introduced.</w:t>
      </w:r>
    </w:p>
    <w:p>
      <w:pPr>
        <w:pStyle w:val="Heading1"/>
      </w:pPr>
      <w:r>
        <w:t>6. RLS Review</w:t>
      </w:r>
    </w:p>
    <w:p>
      <w:r>
        <w:t>The most material RLS correction is that ownership alone is not sufficient when the Session is Organization-scoped. The corrected draft requires an active organization_members row for the authenticated actor whenever visibility=organization.</w:t>
      </w:r>
    </w:p>
    <w:p>
      <w:r>
        <w:t>Session Enrollment is also corrected so the learner cannot use an UPDATE policy to rewrite server-controlled status. Provider Binding, Evidence, Attendance and Completion remain read-oriented for learners; management writes are reserved for a future reconciled permission path rather than being silently granted.</w:t>
      </w:r>
    </w:p>
    <w:p>
      <w:pPr>
        <w:pStyle w:val="Heading1"/>
      </w:pPr>
      <w:r>
        <w:t>7. Provider Binding Review</w:t>
      </w:r>
    </w:p>
    <w:p>
      <w:r>
        <w:t>The source architecture requires provider switching without changing the canonical Session identity. The corrected physical package therefore allows historical bindings but permits only one binding in active/pending state per Session.</w:t>
      </w:r>
    </w:p>
    <w:p>
      <w:pPr>
        <w:pStyle w:val="Heading1"/>
      </w:pPr>
      <w:r>
        <w:t>8. Idempotency Review</w:t>
      </w:r>
    </w:p>
    <w:p>
      <w:r>
        <w:t>Participation Evidence retains a unique idempotency key. The package does not assume a provider-specific event ID is globally unique; adapter code must construct the deterministic idempotency key according to the provider contract.</w:t>
      </w:r>
    </w:p>
    <w:p>
      <w:pPr>
        <w:pStyle w:val="Heading1"/>
      </w:pPr>
      <w:r>
        <w:t>9. Validation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Validation</w:t>
            </w:r>
          </w:p>
        </w:tc>
        <w:tc>
          <w:tcPr>
            <w:tcW w:type="dxa" w:w="5040"/>
            <w:shd w:fill="D9EAF7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All seven Session tables created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FKs resolve against users/courses/organizations/events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Organization-scoped Session requires organization_id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Organization-scoped Session requires actor membership for write</w:t>
            </w:r>
          </w:p>
        </w:tc>
        <w:tc>
          <w:tcPr>
            <w:tcW w:type="dxa" w:w="5040"/>
          </w:tcPr>
          <w:p>
            <w:r>
              <w:t>PASS after remediation</w:t>
            </w:r>
          </w:p>
        </w:tc>
      </w:tr>
      <w:tr>
        <w:tc>
          <w:tcPr>
            <w:tcW w:type="dxa" w:w="5040"/>
          </w:tcPr>
          <w:p>
            <w:r>
              <w:t>Learner cannot directly mutate enrollment lifecycle</w:t>
            </w:r>
          </w:p>
        </w:tc>
        <w:tc>
          <w:tcPr>
            <w:tcW w:type="dxa" w:w="5040"/>
          </w:tcPr>
          <w:p>
            <w:r>
              <w:t>PASS after remediation</w:t>
            </w:r>
          </w:p>
        </w:tc>
      </w:tr>
      <w:tr>
        <w:tc>
          <w:tcPr>
            <w:tcW w:type="dxa" w:w="5040"/>
          </w:tcPr>
          <w:p>
            <w:r>
              <w:t>At most one active provider binding per Session</w:t>
            </w:r>
          </w:p>
        </w:tc>
        <w:tc>
          <w:tcPr>
            <w:tcW w:type="dxa" w:w="5040"/>
          </w:tcPr>
          <w:p>
            <w:r>
              <w:t>PASS after remediation</w:t>
            </w:r>
          </w:p>
        </w:tc>
      </w:tr>
      <w:tr>
        <w:tc>
          <w:tcPr>
            <w:tcW w:type="dxa" w:w="5040"/>
          </w:tcPr>
          <w:p>
            <w:r>
              <w:t>Historical provider bindings retained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No Partner relation introduced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No Private Audience table introduced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M04/M05 existing semantics untouched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Exact permission IDs not invented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Physical Learning Activity handoff</w:t>
            </w:r>
          </w:p>
        </w:tc>
        <w:tc>
          <w:tcPr>
            <w:tcW w:type="dxa" w:w="5040"/>
          </w:tcPr>
          <w:p>
            <w:r>
              <w:t>DEFERRED</w:t>
            </w:r>
          </w:p>
        </w:tc>
      </w:tr>
      <w:tr>
        <w:tc>
          <w:tcPr>
            <w:tcW w:type="dxa" w:w="5040"/>
          </w:tcPr>
          <w:p>
            <w:r>
              <w:t>Live PostgreSQL execution</w:t>
            </w:r>
          </w:p>
        </w:tc>
        <w:tc>
          <w:tcPr>
            <w:tcW w:type="dxa" w:w="5040"/>
          </w:tcPr>
          <w:p>
            <w:r>
              <w:t>NOT RUN</w:t>
            </w:r>
          </w:p>
        </w:tc>
      </w:tr>
    </w:tbl>
    <w:p>
      <w:pPr>
        <w:pStyle w:val="Heading1"/>
      </w:pPr>
      <w:r>
        <w:t>10. Open / Controlled Residuals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Residual</w:t>
            </w:r>
          </w:p>
        </w:tc>
        <w:tc>
          <w:tcPr>
            <w:tcW w:type="dxa" w:w="2520"/>
            <w:shd w:fill="D9EAF7"/>
          </w:tcPr>
          <w:p>
            <w:r>
              <w:t>Status</w:t>
            </w:r>
          </w:p>
        </w:tc>
        <w:tc>
          <w:tcPr>
            <w:tcW w:type="dxa" w:w="2520"/>
            <w:shd w:fill="D9EAF7"/>
          </w:tcPr>
          <w:p>
            <w:r>
              <w:t>Blocks final migration?</w:t>
            </w:r>
          </w:p>
        </w:tc>
        <w:tc>
          <w:tcPr>
            <w:tcW w:type="dxa" w:w="2520"/>
            <w:shd w:fill="D9EAF7"/>
          </w:tcPr>
          <w:p>
            <w:r>
              <w:t>Next gate</w:t>
            </w:r>
          </w:p>
        </w:tc>
      </w:tr>
      <w:tr>
        <w:tc>
          <w:tcPr>
            <w:tcW w:type="dxa" w:w="2520"/>
          </w:tcPr>
          <w:p>
            <w:r>
              <w:t>Exact permission catalogue mapping</w:t>
            </w:r>
          </w:p>
        </w:tc>
        <w:tc>
          <w:tcPr>
            <w:tcW w:type="dxa" w:w="2520"/>
          </w:tcPr>
          <w:p>
            <w:r>
              <w:t>OPEN / CONTROLLED</w:t>
            </w:r>
          </w:p>
        </w:tc>
        <w:tc>
          <w:tcPr>
            <w:tcW w:type="dxa" w:w="2520"/>
          </w:tcPr>
          <w:p>
            <w:r>
              <w:t>YES for production authorization</w:t>
            </w:r>
          </w:p>
        </w:tc>
        <w:tc>
          <w:tcPr>
            <w:tcW w:type="dxa" w:w="2520"/>
          </w:tcPr>
          <w:p>
            <w:r>
              <w:t>Permission reconciliation</w:t>
            </w:r>
          </w:p>
        </w:tc>
      </w:tr>
      <w:tr>
        <w:tc>
          <w:tcPr>
            <w:tcW w:type="dxa" w:w="2520"/>
          </w:tcPr>
          <w:p>
            <w:r>
              <w:t>Attendance formula/threshold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NO for table creation; YES for behavior</w:t>
            </w:r>
          </w:p>
        </w:tc>
        <w:tc>
          <w:tcPr>
            <w:tcW w:type="dxa" w:w="2520"/>
          </w:tcPr>
          <w:p>
            <w:r>
              <w:t>Business-rule gate</w:t>
            </w:r>
          </w:p>
        </w:tc>
      </w:tr>
      <w:tr>
        <w:tc>
          <w:tcPr>
            <w:tcW w:type="dxa" w:w="2520"/>
          </w:tcPr>
          <w:p>
            <w:r>
              <w:t>Capacity policy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NO for base schema</w:t>
            </w:r>
          </w:p>
        </w:tc>
        <w:tc>
          <w:tcPr>
            <w:tcW w:type="dxa" w:w="2520"/>
          </w:tcPr>
          <w:p>
            <w:r>
              <w:t>Capacity gate</w:t>
            </w:r>
          </w:p>
        </w:tc>
      </w:tr>
      <w:tr>
        <w:tc>
          <w:tcPr>
            <w:tcW w:type="dxa" w:w="2520"/>
          </w:tcPr>
          <w:p>
            <w:r>
              <w:t>Recording retention/privacy/replay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NO for base artifact table</w:t>
            </w:r>
          </w:p>
        </w:tc>
        <w:tc>
          <w:tcPr>
            <w:tcW w:type="dxa" w:w="2520"/>
          </w:tcPr>
          <w:p>
            <w:r>
              <w:t>Media policy gate</w:t>
            </w:r>
          </w:p>
        </w:tc>
      </w:tr>
      <w:tr>
        <w:tc>
          <w:tcPr>
            <w:tcW w:type="dxa" w:w="2520"/>
          </w:tcPr>
          <w:p>
            <w:r>
              <w:t>Provider API/OAuth contracts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YES for adapter implementation</w:t>
            </w:r>
          </w:p>
        </w:tc>
        <w:tc>
          <w:tcPr>
            <w:tcW w:type="dxa" w:w="2520"/>
          </w:tcPr>
          <w:p>
            <w:r>
              <w:t>Provider verification</w:t>
            </w:r>
          </w:p>
        </w:tc>
      </w:tr>
      <w:tr>
        <w:tc>
          <w:tcPr>
            <w:tcW w:type="dxa" w:w="2520"/>
          </w:tcPr>
          <w:p>
            <w:r>
              <w:t>MADCR-049 physical Activity relation/API</w:t>
            </w:r>
          </w:p>
        </w:tc>
        <w:tc>
          <w:tcPr>
            <w:tcW w:type="dxa" w:w="2520"/>
          </w:tcPr>
          <w:p>
            <w:r>
              <w:t>APPROVED semantic / DOWNSTREAM physical</w:t>
            </w:r>
          </w:p>
        </w:tc>
        <w:tc>
          <w:tcPr>
            <w:tcW w:type="dxa" w:w="2520"/>
          </w:tcPr>
          <w:p>
            <w:r>
              <w:t>YES for completion integration</w:t>
            </w:r>
          </w:p>
        </w:tc>
        <w:tc>
          <w:tcPr>
            <w:tcW w:type="dxa" w:w="2520"/>
          </w:tcPr>
          <w:p>
            <w:r>
              <w:t>Learning Activity physical gate</w:t>
            </w:r>
          </w:p>
        </w:tc>
      </w:tr>
      <w:tr>
        <w:tc>
          <w:tcPr>
            <w:tcW w:type="dxa" w:w="2520"/>
          </w:tcPr>
          <w:p>
            <w:r>
              <w:t>Production migration authorization</w:t>
            </w:r>
          </w:p>
        </w:tc>
        <w:tc>
          <w:tcPr>
            <w:tcW w:type="dxa" w:w="2520"/>
          </w:tcPr>
          <w:p>
            <w:r>
              <w:t>NOT GRANTED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Explicit approval</w:t>
            </w:r>
          </w:p>
        </w:tc>
      </w:tr>
    </w:tbl>
    <w:p>
      <w:pPr>
        <w:pStyle w:val="Heading1"/>
      </w:pPr>
      <w:r>
        <w:t>11. Gate Result</w:t>
      </w:r>
    </w:p>
    <w:p>
      <w:r>
        <w:t>TECH-12 = PASS WITH REMEDIATION. TECH-11's architecture and resource boundary are sound, but the first SQL draft contains authorization/lifecycle weaknesses that should not be promoted as-is. The corrected v1.1 draft addresses the identified HIGH findings while preserving the approved TECH-08 relationship decisions.</w:t>
      </w:r>
    </w:p>
    <w:p>
      <w:r>
        <w:t>No user Open Decision is required at this point. The next step is a second static verification of the remediated SQL followed by a final execution-candidate package. Production execution remains separately gated.</w:t>
      </w:r>
    </w:p>
    <w:p>
      <w:pPr>
        <w:pStyle w:val="Heading1"/>
      </w:pPr>
      <w:r>
        <w:t>12. Next Step — TECH-13</w:t>
      </w:r>
    </w:p>
    <w:p>
      <w:r>
        <w:t>TECH-13 — Final Migration Candidate &amp; Authorization Gate. Re-check the remediated SQL, reconcile exact permissions, freeze the execution artifact, and present the production/staging execution authorization decision. No execution is performed merely by reaching TECH-13.</w:t>
      </w:r>
    </w:p>
    <w:p>
      <w:pPr>
        <w:pStyle w:val="Heading1"/>
      </w:pPr>
      <w:r>
        <w:t>13. Traceability</w:t>
      </w:r>
    </w:p>
    <w:p>
      <w:pPr>
        <w:pStyle w:val="ListBullet"/>
      </w:pPr>
      <w:r>
        <w:t>TECH-11 Migration Specification &amp; Verification Package.</w:t>
      </w:r>
    </w:p>
    <w:p>
      <w:pPr>
        <w:pStyle w:val="ListBullet"/>
      </w:pPr>
      <w:r>
        <w:t>Database-Migration-Full-v1_0__1_.sql.</w:t>
      </w:r>
    </w:p>
    <w:p>
      <w:pPr>
        <w:pStyle w:val="ListBullet"/>
      </w:pPr>
      <w:r>
        <w:t>0002_m10_rbac_foundation__1_.sql.</w:t>
      </w:r>
    </w:p>
    <w:p>
      <w:pPr>
        <w:pStyle w:val="ListBullet"/>
      </w:pPr>
      <w:r>
        <w:t>0007_m12_organization-FIXED.sql.</w:t>
      </w:r>
    </w:p>
    <w:p>
      <w:pPr>
        <w:pStyle w:val="ListBullet"/>
      </w:pPr>
      <w:r>
        <w:t>0010_m05_events-FIXED.sql.</w:t>
      </w:r>
    </w:p>
    <w:p>
      <w:pPr>
        <w:pStyle w:val="ListBullet"/>
      </w:pPr>
      <w:r>
        <w:t>0009_m04_learning_center__1_.sql.</w:t>
      </w:r>
    </w:p>
    <w:p>
      <w:pPr>
        <w:pStyle w:val="ListBullet"/>
      </w:pPr>
      <w:r>
        <w:t>TECH-08 / TECH-09 / TECH-10.</w:t>
      </w:r>
    </w:p>
    <w:p>
      <w:pPr>
        <w:pStyle w:val="ListBullet"/>
      </w:pPr>
      <w:r>
        <w:t>AEP4 STEP-07 / STEP-08 / STEP-10.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