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RUMAHAGEN — TECH-14</w:t>
      </w:r>
    </w:p>
    <w:p>
      <w:pPr>
        <w:jc w:val="center"/>
      </w:pPr>
      <w:r>
        <w:rPr>
          <w:i/>
        </w:rPr>
        <w:t>Staging Execution &amp; Runtime Verification Readiness</w:t>
      </w:r>
    </w:p>
    <w:p>
      <w:r>
        <w:rPr>
          <w:b/>
        </w:rPr>
        <w:t xml:space="preserve">Status: </w:t>
      </w:r>
      <w:r>
        <w:t>PASS — STATIC PRE-FLIGHT READY; RUNTIME EXECUTION BLOCKED BY ENVIRONMENT</w:t>
      </w:r>
    </w:p>
    <w:p>
      <w:pPr>
        <w:pStyle w:val="Heading1"/>
      </w:pPr>
      <w:r>
        <w:t>1. Purpose</w:t>
      </w:r>
    </w:p>
    <w:p>
      <w:r>
        <w:t>TECH-14 is the staging/runtime verification gate for the frozen TECH-13 migration candidate. The project source corpus and local runtime were inspected first. The exact baseline migration artifacts are available in the uploaded project archive, but the current execution environment has no PostgreSQL server/client or PostgreSQL Python driver. Therefore this step can complete static pre-flight and produce a staging test plan, but cannot truthfully claim a live PostgreSQL dry-run.</w:t>
      </w:r>
    </w:p>
    <w:p>
      <w:pPr>
        <w:pStyle w:val="Heading1"/>
      </w:pPr>
      <w:r>
        <w:t>2. Exact Source Evidence Rechecked</w:t>
      </w:r>
    </w:p>
    <w:p>
      <w:pPr>
        <w:pStyle w:val="ListBullet"/>
      </w:pPr>
      <w:r>
        <w:t>RUMAHAGEN-dokumen-updated (2).zip — contains Database-Migration-Full-v1_0__1_.sql and the individual M01–M13 migrations.</w:t>
      </w:r>
    </w:p>
    <w:p>
      <w:pPr>
        <w:pStyle w:val="ListBullet"/>
      </w:pPr>
      <w:r>
        <w:t>0002_m10_rbac_foundation__1_.sql — confirms existing RLS/policy and auth helper conventions.</w:t>
      </w:r>
    </w:p>
    <w:p>
      <w:pPr>
        <w:pStyle w:val="ListBullet"/>
      </w:pPr>
      <w:r>
        <w:t>0007_m12_organization-FIXED.sql — confirms organizations, organization_members and membership-based RLS.</w:t>
      </w:r>
    </w:p>
    <w:p>
      <w:pPr>
        <w:pStyle w:val="ListBullet"/>
      </w:pPr>
      <w:r>
        <w:t>0009_m04_learning_center__1_.sql — confirms courses/enrollments/certificates semantics and learner enrollment RLS pattern.</w:t>
      </w:r>
    </w:p>
    <w:p>
      <w:pPr>
        <w:pStyle w:val="ListBullet"/>
      </w:pPr>
      <w:r>
        <w:t>0010_m05_events-FIXED.sql — confirms events/event_registrations and Event RSVP RLS pattern.</w:t>
      </w:r>
    </w:p>
    <w:p>
      <w:pPr>
        <w:pStyle w:val="ListBullet"/>
      </w:pPr>
      <w:r>
        <w:t>TECH-13 final migration candidate — frozen Session migration target.</w:t>
      </w:r>
    </w:p>
    <w:p>
      <w:pPr>
        <w:pStyle w:val="Heading1"/>
      </w:pPr>
      <w:r>
        <w:t>3. Static Pre-flight Result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Check</w:t>
            </w:r>
          </w:p>
        </w:tc>
        <w:tc>
          <w:tcPr>
            <w:tcW w:type="dxa" w:w="3360"/>
            <w:shd w:fill="D9EAF7"/>
          </w:tcPr>
          <w:p>
            <w:r>
              <w:t>Result</w:t>
            </w:r>
          </w:p>
        </w:tc>
        <w:tc>
          <w:tcPr>
            <w:tcW w:type="dxa" w:w="3360"/>
            <w:shd w:fill="D9EAF7"/>
          </w:tcPr>
          <w:p>
            <w:r>
              <w:t>Meaning</w:t>
            </w:r>
          </w:p>
        </w:tc>
      </w:tr>
      <w:tr>
        <w:tc>
          <w:tcPr>
            <w:tcW w:type="dxa" w:w="3360"/>
          </w:tcPr>
          <w:p>
            <w:r>
              <w:t>Candidate file exists and is non-empty</w:t>
            </w:r>
          </w:p>
        </w:tc>
        <w:tc>
          <w:tcPr>
            <w:tcW w:type="dxa" w:w="3360"/>
          </w:tcPr>
          <w:p>
            <w:r>
              <w:t>PASS</w:t>
            </w:r>
          </w:p>
        </w:tc>
        <w:tc>
          <w:tcPr>
            <w:tcW w:type="dxa" w:w="3360"/>
          </w:tcPr>
          <w:p>
            <w:r>
              <w:t>Static file/source check</w:t>
            </w:r>
          </w:p>
        </w:tc>
      </w:tr>
      <w:tr>
        <w:tc>
          <w:tcPr>
            <w:tcW w:type="dxa" w:w="3360"/>
          </w:tcPr>
          <w:p>
            <w:r>
              <w:t>Seven Session tables present</w:t>
            </w:r>
          </w:p>
        </w:tc>
        <w:tc>
          <w:tcPr>
            <w:tcW w:type="dxa" w:w="3360"/>
          </w:tcPr>
          <w:p>
            <w:r>
              <w:t>PASS</w:t>
            </w:r>
          </w:p>
        </w:tc>
        <w:tc>
          <w:tcPr>
            <w:tcW w:type="dxa" w:w="3360"/>
          </w:tcPr>
          <w:p>
            <w:r>
              <w:t>Static file/source check</w:t>
            </w:r>
          </w:p>
        </w:tc>
      </w:tr>
      <w:tr>
        <w:tc>
          <w:tcPr>
            <w:tcW w:type="dxa" w:w="3360"/>
          </w:tcPr>
          <w:p>
            <w:r>
              <w:t>RLS enabled on seven Session resources</w:t>
            </w:r>
          </w:p>
        </w:tc>
        <w:tc>
          <w:tcPr>
            <w:tcW w:type="dxa" w:w="3360"/>
          </w:tcPr>
          <w:p>
            <w:r>
              <w:t>PASS</w:t>
            </w:r>
          </w:p>
        </w:tc>
        <w:tc>
          <w:tcPr>
            <w:tcW w:type="dxa" w:w="3360"/>
          </w:tcPr>
          <w:p>
            <w:r>
              <w:t>Static file/source check</w:t>
            </w:r>
          </w:p>
        </w:tc>
      </w:tr>
      <w:tr>
        <w:tc>
          <w:tcPr>
            <w:tcW w:type="dxa" w:w="3360"/>
          </w:tcPr>
          <w:p>
            <w:r>
              <w:t>Organization visibility integrity check present</w:t>
            </w:r>
          </w:p>
        </w:tc>
        <w:tc>
          <w:tcPr>
            <w:tcW w:type="dxa" w:w="3360"/>
          </w:tcPr>
          <w:p>
            <w:r>
              <w:t>PASS</w:t>
            </w:r>
          </w:p>
        </w:tc>
        <w:tc>
          <w:tcPr>
            <w:tcW w:type="dxa" w:w="3360"/>
          </w:tcPr>
          <w:p>
            <w:r>
              <w:t>Static file/source check</w:t>
            </w:r>
          </w:p>
        </w:tc>
      </w:tr>
      <w:tr>
        <w:tc>
          <w:tcPr>
            <w:tcW w:type="dxa" w:w="3360"/>
          </w:tcPr>
          <w:p>
            <w:r>
              <w:t>Time-order integrity check present</w:t>
            </w:r>
          </w:p>
        </w:tc>
        <w:tc>
          <w:tcPr>
            <w:tcW w:type="dxa" w:w="3360"/>
          </w:tcPr>
          <w:p>
            <w:r>
              <w:t>PASS</w:t>
            </w:r>
          </w:p>
        </w:tc>
        <w:tc>
          <w:tcPr>
            <w:tcW w:type="dxa" w:w="3360"/>
          </w:tcPr>
          <w:p>
            <w:r>
              <w:t>Static file/source check</w:t>
            </w:r>
          </w:p>
        </w:tc>
      </w:tr>
      <w:tr>
        <w:tc>
          <w:tcPr>
            <w:tcW w:type="dxa" w:w="3360"/>
          </w:tcPr>
          <w:p>
            <w:r>
              <w:t>One active/pending provider binding index present</w:t>
            </w:r>
          </w:p>
        </w:tc>
        <w:tc>
          <w:tcPr>
            <w:tcW w:type="dxa" w:w="3360"/>
          </w:tcPr>
          <w:p>
            <w:r>
              <w:t>PASS</w:t>
            </w:r>
          </w:p>
        </w:tc>
        <w:tc>
          <w:tcPr>
            <w:tcW w:type="dxa" w:w="3360"/>
          </w:tcPr>
          <w:p>
            <w:r>
              <w:t>Static file/source check</w:t>
            </w:r>
          </w:p>
        </w:tc>
      </w:tr>
      <w:tr>
        <w:tc>
          <w:tcPr>
            <w:tcW w:type="dxa" w:w="3360"/>
          </w:tcPr>
          <w:p>
            <w:r>
              <w:t>No physical Partner relation</w:t>
            </w:r>
          </w:p>
        </w:tc>
        <w:tc>
          <w:tcPr>
            <w:tcW w:type="dxa" w:w="3360"/>
          </w:tcPr>
          <w:p>
            <w:r>
              <w:t>PASS</w:t>
            </w:r>
          </w:p>
        </w:tc>
        <w:tc>
          <w:tcPr>
            <w:tcW w:type="dxa" w:w="3360"/>
          </w:tcPr>
          <w:p>
            <w:r>
              <w:t>Static file/source check</w:t>
            </w:r>
          </w:p>
        </w:tc>
      </w:tr>
      <w:tr>
        <w:tc>
          <w:tcPr>
            <w:tcW w:type="dxa" w:w="3360"/>
          </w:tcPr>
          <w:p>
            <w:r>
              <w:t>No Private Audience table</w:t>
            </w:r>
          </w:p>
        </w:tc>
        <w:tc>
          <w:tcPr>
            <w:tcW w:type="dxa" w:w="3360"/>
          </w:tcPr>
          <w:p>
            <w:r>
              <w:t>PASS</w:t>
            </w:r>
          </w:p>
        </w:tc>
        <w:tc>
          <w:tcPr>
            <w:tcW w:type="dxa" w:w="3360"/>
          </w:tcPr>
          <w:p>
            <w:r>
              <w:t>Static file/source check</w:t>
            </w:r>
          </w:p>
        </w:tc>
      </w:tr>
      <w:tr>
        <w:tc>
          <w:tcPr>
            <w:tcW w:type="dxa" w:w="3360"/>
          </w:tcPr>
          <w:p>
            <w:r>
              <w:t>No permission/role_permission seeding</w:t>
            </w:r>
          </w:p>
        </w:tc>
        <w:tc>
          <w:tcPr>
            <w:tcW w:type="dxa" w:w="3360"/>
          </w:tcPr>
          <w:p>
            <w:r>
              <w:t>PASS</w:t>
            </w:r>
          </w:p>
        </w:tc>
        <w:tc>
          <w:tcPr>
            <w:tcW w:type="dxa" w:w="3360"/>
          </w:tcPr>
          <w:p>
            <w:r>
              <w:t>Static file/source check</w:t>
            </w:r>
          </w:p>
        </w:tc>
      </w:tr>
      <w:tr>
        <w:tc>
          <w:tcPr>
            <w:tcW w:type="dxa" w:w="3360"/>
          </w:tcPr>
          <w:p>
            <w:r>
              <w:t>M04/M05 existing-table ALTER not present</w:t>
            </w:r>
          </w:p>
        </w:tc>
        <w:tc>
          <w:tcPr>
            <w:tcW w:type="dxa" w:w="3360"/>
          </w:tcPr>
          <w:p>
            <w:r>
              <w:t>PASS</w:t>
            </w:r>
          </w:p>
        </w:tc>
        <w:tc>
          <w:tcPr>
            <w:tcW w:type="dxa" w:w="3360"/>
          </w:tcPr>
          <w:p>
            <w:r>
              <w:t>Static file/source check</w:t>
            </w:r>
          </w:p>
        </w:tc>
      </w:tr>
      <w:tr>
        <w:tc>
          <w:tcPr>
            <w:tcW w:type="dxa" w:w="3360"/>
          </w:tcPr>
          <w:p>
            <w:r>
              <w:t>BEGIN/COMMIT envelope present</w:t>
            </w:r>
          </w:p>
        </w:tc>
        <w:tc>
          <w:tcPr>
            <w:tcW w:type="dxa" w:w="3360"/>
          </w:tcPr>
          <w:p>
            <w:r>
              <w:t>PASS</w:t>
            </w:r>
          </w:p>
        </w:tc>
        <w:tc>
          <w:tcPr>
            <w:tcW w:type="dxa" w:w="3360"/>
          </w:tcPr>
          <w:p>
            <w:r>
              <w:t>Static file/source check</w:t>
            </w:r>
          </w:p>
        </w:tc>
      </w:tr>
      <w:tr>
        <w:tc>
          <w:tcPr>
            <w:tcW w:type="dxa" w:w="3360"/>
          </w:tcPr>
          <w:p>
            <w:r>
              <w:t>No obvious unclosed block comment</w:t>
            </w:r>
          </w:p>
        </w:tc>
        <w:tc>
          <w:tcPr>
            <w:tcW w:type="dxa" w:w="3360"/>
          </w:tcPr>
          <w:p>
            <w:r>
              <w:t>PASS</w:t>
            </w:r>
          </w:p>
        </w:tc>
        <w:tc>
          <w:tcPr>
            <w:tcW w:type="dxa" w:w="3360"/>
          </w:tcPr>
          <w:p>
            <w:r>
              <w:t>Static file/source check</w:t>
            </w:r>
          </w:p>
        </w:tc>
      </w:tr>
      <w:tr>
        <w:tc>
          <w:tcPr>
            <w:tcW w:type="dxa" w:w="3360"/>
          </w:tcPr>
          <w:p>
            <w:r>
              <w:t>Verification queries included</w:t>
            </w:r>
          </w:p>
        </w:tc>
        <w:tc>
          <w:tcPr>
            <w:tcW w:type="dxa" w:w="3360"/>
          </w:tcPr>
          <w:p>
            <w:r>
              <w:t>PASS</w:t>
            </w:r>
          </w:p>
        </w:tc>
        <w:tc>
          <w:tcPr>
            <w:tcW w:type="dxa" w:w="3360"/>
          </w:tcPr>
          <w:p>
            <w:r>
              <w:t>Static file/source check</w:t>
            </w:r>
          </w:p>
        </w:tc>
      </w:tr>
    </w:tbl>
    <w:p>
      <w:pPr>
        <w:pStyle w:val="Heading1"/>
      </w:pPr>
      <w:r>
        <w:t>4. Environment Gate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Capability</w:t>
            </w:r>
          </w:p>
        </w:tc>
        <w:tc>
          <w:tcPr>
            <w:tcW w:type="dxa" w:w="3360"/>
            <w:shd w:fill="D9EAF7"/>
          </w:tcPr>
          <w:p>
            <w:r>
              <w:t>Detected</w:t>
            </w:r>
          </w:p>
        </w:tc>
        <w:tc>
          <w:tcPr>
            <w:tcW w:type="dxa" w:w="3360"/>
            <w:shd w:fill="D9EAF7"/>
          </w:tcPr>
          <w:p>
            <w:r>
              <w:t>Impact</w:t>
            </w:r>
          </w:p>
        </w:tc>
      </w:tr>
      <w:tr>
        <w:tc>
          <w:tcPr>
            <w:tcW w:type="dxa" w:w="3360"/>
          </w:tcPr>
          <w:p>
            <w:r>
              <w:t>psql PostgreSQL client</w:t>
            </w:r>
          </w:p>
        </w:tc>
        <w:tc>
          <w:tcPr>
            <w:tcW w:type="dxa" w:w="3360"/>
          </w:tcPr>
          <w:p>
            <w:r>
              <w:t>NOT AVAILABLE</w:t>
            </w:r>
          </w:p>
        </w:tc>
        <w:tc>
          <w:tcPr>
            <w:tcW w:type="dxa" w:w="3360"/>
          </w:tcPr>
          <w:p>
            <w:r>
              <w:t>Cannot execute SQL</w:t>
            </w:r>
          </w:p>
        </w:tc>
      </w:tr>
      <w:tr>
        <w:tc>
          <w:tcPr>
            <w:tcW w:type="dxa" w:w="3360"/>
          </w:tcPr>
          <w:p>
            <w:r>
              <w:t>pg_isready</w:t>
            </w:r>
          </w:p>
        </w:tc>
        <w:tc>
          <w:tcPr>
            <w:tcW w:type="dxa" w:w="3360"/>
          </w:tcPr>
          <w:p>
            <w:r>
              <w:t>NOT AVAILABLE</w:t>
            </w:r>
          </w:p>
        </w:tc>
        <w:tc>
          <w:tcPr>
            <w:tcW w:type="dxa" w:w="3360"/>
          </w:tcPr>
          <w:p>
            <w:r>
              <w:t>Cannot verify live server readiness</w:t>
            </w:r>
          </w:p>
        </w:tc>
      </w:tr>
      <w:tr>
        <w:tc>
          <w:tcPr>
            <w:tcW w:type="dxa" w:w="3360"/>
          </w:tcPr>
          <w:p>
            <w:r>
              <w:t>PostgreSQL server/container</w:t>
            </w:r>
          </w:p>
        </w:tc>
        <w:tc>
          <w:tcPr>
            <w:tcW w:type="dxa" w:w="3360"/>
          </w:tcPr>
          <w:p>
            <w:r>
              <w:t>NOT AVAILABLE</w:t>
            </w:r>
          </w:p>
        </w:tc>
        <w:tc>
          <w:tcPr>
            <w:tcW w:type="dxa" w:w="3360"/>
          </w:tcPr>
          <w:p>
            <w:r>
              <w:t>Cannot create disposable DB</w:t>
            </w:r>
          </w:p>
        </w:tc>
      </w:tr>
      <w:tr>
        <w:tc>
          <w:tcPr>
            <w:tcW w:type="dxa" w:w="3360"/>
          </w:tcPr>
          <w:p>
            <w:r>
              <w:t>psycopg/psycopg2</w:t>
            </w:r>
          </w:p>
        </w:tc>
        <w:tc>
          <w:tcPr>
            <w:tcW w:type="dxa" w:w="3360"/>
          </w:tcPr>
          <w:p>
            <w:r>
              <w:t>NOT AVAILABLE</w:t>
            </w:r>
          </w:p>
        </w:tc>
        <w:tc>
          <w:tcPr>
            <w:tcW w:type="dxa" w:w="3360"/>
          </w:tcPr>
          <w:p>
            <w:r>
              <w:t>Cannot run SQL through Python</w:t>
            </w:r>
          </w:p>
        </w:tc>
      </w:tr>
      <w:tr>
        <w:tc>
          <w:tcPr>
            <w:tcW w:type="dxa" w:w="3360"/>
          </w:tcPr>
          <w:p>
            <w:r>
              <w:t>Exact source archive</w:t>
            </w:r>
          </w:p>
        </w:tc>
        <w:tc>
          <w:tcPr>
            <w:tcW w:type="dxa" w:w="3360"/>
          </w:tcPr>
          <w:p>
            <w:r>
              <w:t>AVAILABLE</w:t>
            </w:r>
          </w:p>
        </w:tc>
        <w:tc>
          <w:tcPr>
            <w:tcW w:type="dxa" w:w="3360"/>
          </w:tcPr>
          <w:p>
            <w:r>
              <w:t>Baseline/source review possible</w:t>
            </w:r>
          </w:p>
        </w:tc>
      </w:tr>
      <w:tr>
        <w:tc>
          <w:tcPr>
            <w:tcW w:type="dxa" w:w="3360"/>
          </w:tcPr>
          <w:p>
            <w:r>
              <w:t>Frozen migration candidate</w:t>
            </w:r>
          </w:p>
        </w:tc>
        <w:tc>
          <w:tcPr>
            <w:tcW w:type="dxa" w:w="3360"/>
          </w:tcPr>
          <w:p>
            <w:r>
              <w:t>AVAILABLE</w:t>
            </w:r>
          </w:p>
        </w:tc>
        <w:tc>
          <w:tcPr>
            <w:tcW w:type="dxa" w:w="3360"/>
          </w:tcPr>
          <w:p>
            <w:r>
              <w:t>Static verification possible</w:t>
            </w:r>
          </w:p>
        </w:tc>
      </w:tr>
    </w:tbl>
    <w:p>
      <w:pPr>
        <w:pStyle w:val="Heading1"/>
      </w:pPr>
      <w:r>
        <w:t>5. Important Source-Level Confirmation</w:t>
      </w:r>
    </w:p>
    <w:p>
      <w:r>
        <w:t>The source archive was inspected directly rather than relying only on earlier summaries. The existing migrations confirm the project's use of UUID primary keys, auth.uid(), organization_members membership checks, RLS policies, and auth_has_scope_all(module, action). The Learning Center migration confirms M04 enrollments are course-scoped, while the Event migration confirms M05 event_registrations are Event RSVP. These existing semantics remain isolated.</w:t>
      </w:r>
    </w:p>
    <w:p>
      <w:pPr>
        <w:pStyle w:val="Heading1"/>
      </w:pPr>
      <w:r>
        <w:t>6. Runtime Test Plan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t>Test group</w:t>
            </w:r>
          </w:p>
        </w:tc>
        <w:tc>
          <w:tcPr>
            <w:tcW w:type="dxa" w:w="2520"/>
            <w:shd w:fill="D9EAF7"/>
          </w:tcPr>
          <w:p>
            <w:r>
              <w:t>Test</w:t>
            </w:r>
          </w:p>
        </w:tc>
        <w:tc>
          <w:tcPr>
            <w:tcW w:type="dxa" w:w="2520"/>
            <w:shd w:fill="D9EAF7"/>
          </w:tcPr>
          <w:p>
            <w:r>
              <w:t>Expected result</w:t>
            </w:r>
          </w:p>
        </w:tc>
        <w:tc>
          <w:tcPr>
            <w:tcW w:type="dxa" w:w="2520"/>
            <w:shd w:fill="D9EAF7"/>
          </w:tcPr>
          <w:p>
            <w:r>
              <w:t>Gate</w:t>
            </w:r>
          </w:p>
        </w:tc>
      </w:tr>
      <w:tr>
        <w:tc>
          <w:tcPr>
            <w:tcW w:type="dxa" w:w="2520"/>
          </w:tcPr>
          <w:p>
            <w:r>
              <w:t>Schema</w:t>
            </w:r>
          </w:p>
        </w:tc>
        <w:tc>
          <w:tcPr>
            <w:tcW w:type="dxa" w:w="2520"/>
          </w:tcPr>
          <w:p>
            <w:r>
              <w:t>Apply frozen candidate to disposable clone</w:t>
            </w:r>
          </w:p>
        </w:tc>
        <w:tc>
          <w:tcPr>
            <w:tcW w:type="dxa" w:w="2520"/>
          </w:tcPr>
          <w:p>
            <w:r>
              <w:t>All seven Session tables created</w:t>
            </w:r>
          </w:p>
        </w:tc>
        <w:tc>
          <w:tcPr>
            <w:tcW w:type="dxa" w:w="2520"/>
          </w:tcPr>
          <w:p>
            <w:r>
              <w:t>Required</w:t>
            </w:r>
          </w:p>
        </w:tc>
      </w:tr>
      <w:tr>
        <w:tc>
          <w:tcPr>
            <w:tcW w:type="dxa" w:w="2520"/>
          </w:tcPr>
          <w:p>
            <w:r>
              <w:t>FK</w:t>
            </w:r>
          </w:p>
        </w:tc>
        <w:tc>
          <w:tcPr>
            <w:tcW w:type="dxa" w:w="2520"/>
          </w:tcPr>
          <w:p>
            <w:r>
              <w:t>Insert valid and invalid Organization/Event/Course/Agent references</w:t>
            </w:r>
          </w:p>
        </w:tc>
        <w:tc>
          <w:tcPr>
            <w:tcW w:type="dxa" w:w="2520"/>
          </w:tcPr>
          <w:p>
            <w:r>
              <w:t>Valid succeeds; invalid fails</w:t>
            </w:r>
          </w:p>
        </w:tc>
        <w:tc>
          <w:tcPr>
            <w:tcW w:type="dxa" w:w="2520"/>
          </w:tcPr>
          <w:p>
            <w:r>
              <w:t>Required</w:t>
            </w:r>
          </w:p>
        </w:tc>
      </w:tr>
      <w:tr>
        <w:tc>
          <w:tcPr>
            <w:tcW w:type="dxa" w:w="2520"/>
          </w:tcPr>
          <w:p>
            <w:r>
              <w:t>Visibility</w:t>
            </w:r>
          </w:p>
        </w:tc>
        <w:tc>
          <w:tcPr>
            <w:tcW w:type="dxa" w:w="2520"/>
          </w:tcPr>
          <w:p>
            <w:r>
              <w:t>ORGANIZATION Session with NULL organization_id</w:t>
            </w:r>
          </w:p>
        </w:tc>
        <w:tc>
          <w:tcPr>
            <w:tcW w:type="dxa" w:w="2520"/>
          </w:tcPr>
          <w:p>
            <w:r>
              <w:t>Rejected</w:t>
            </w:r>
          </w:p>
        </w:tc>
        <w:tc>
          <w:tcPr>
            <w:tcW w:type="dxa" w:w="2520"/>
          </w:tcPr>
          <w:p>
            <w:r>
              <w:t>Required</w:t>
            </w:r>
          </w:p>
        </w:tc>
      </w:tr>
      <w:tr>
        <w:tc>
          <w:tcPr>
            <w:tcW w:type="dxa" w:w="2520"/>
          </w:tcPr>
          <w:p>
            <w:r>
              <w:t>Organization RLS</w:t>
            </w:r>
          </w:p>
        </w:tc>
        <w:tc>
          <w:tcPr>
            <w:tcW w:type="dxa" w:w="2520"/>
          </w:tcPr>
          <w:p>
            <w:r>
              <w:t>Member reads; non-member denied</w:t>
            </w:r>
          </w:p>
        </w:tc>
        <w:tc>
          <w:tcPr>
            <w:tcW w:type="dxa" w:w="2520"/>
          </w:tcPr>
          <w:p>
            <w:r>
              <w:t>Correct scoped read</w:t>
            </w:r>
          </w:p>
        </w:tc>
        <w:tc>
          <w:tcPr>
            <w:tcW w:type="dxa" w:w="2520"/>
          </w:tcPr>
          <w:p>
            <w:r>
              <w:t>Required</w:t>
            </w:r>
          </w:p>
        </w:tc>
      </w:tr>
      <w:tr>
        <w:tc>
          <w:tcPr>
            <w:tcW w:type="dxa" w:w="2520"/>
          </w:tcPr>
          <w:p>
            <w:r>
              <w:t>Owner RLS</w:t>
            </w:r>
          </w:p>
        </w:tc>
        <w:tc>
          <w:tcPr>
            <w:tcW w:type="dxa" w:w="2520"/>
          </w:tcPr>
          <w:p>
            <w:r>
              <w:t>Owner reads/updates own resource</w:t>
            </w:r>
          </w:p>
        </w:tc>
        <w:tc>
          <w:tcPr>
            <w:tcW w:type="dxa" w:w="2520"/>
          </w:tcPr>
          <w:p>
            <w:r>
              <w:t>Allowed per policy</w:t>
            </w:r>
          </w:p>
        </w:tc>
        <w:tc>
          <w:tcPr>
            <w:tcW w:type="dxa" w:w="2520"/>
          </w:tcPr>
          <w:p>
            <w:r>
              <w:t>Required</w:t>
            </w:r>
          </w:p>
        </w:tc>
      </w:tr>
      <w:tr>
        <w:tc>
          <w:tcPr>
            <w:tcW w:type="dxa" w:w="2520"/>
          </w:tcPr>
          <w:p>
            <w:r>
              <w:t>Enrollment</w:t>
            </w:r>
          </w:p>
        </w:tc>
        <w:tc>
          <w:tcPr>
            <w:tcW w:type="dxa" w:w="2520"/>
          </w:tcPr>
          <w:p>
            <w:r>
              <w:t>Learner creates PENDING</w:t>
            </w:r>
          </w:p>
        </w:tc>
        <w:tc>
          <w:tcPr>
            <w:tcW w:type="dxa" w:w="2520"/>
          </w:tcPr>
          <w:p>
            <w:r>
              <w:t>Allowed if flow is enabled</w:t>
            </w:r>
          </w:p>
        </w:tc>
        <w:tc>
          <w:tcPr>
            <w:tcW w:type="dxa" w:w="2520"/>
          </w:tcPr>
          <w:p>
            <w:r>
              <w:t>Required</w:t>
            </w:r>
          </w:p>
        </w:tc>
      </w:tr>
      <w:tr>
        <w:tc>
          <w:tcPr>
            <w:tcW w:type="dxa" w:w="2520"/>
          </w:tcPr>
          <w:p>
            <w:r>
              <w:t>Enrollment lifecycle</w:t>
            </w:r>
          </w:p>
        </w:tc>
        <w:tc>
          <w:tcPr>
            <w:tcW w:type="dxa" w:w="2520"/>
          </w:tcPr>
          <w:p>
            <w:r>
              <w:t>Learner attempts status UPDATE</w:t>
            </w:r>
          </w:p>
        </w:tc>
        <w:tc>
          <w:tcPr>
            <w:tcW w:type="dxa" w:w="2520"/>
          </w:tcPr>
          <w:p>
            <w:r>
              <w:t>Denied</w:t>
            </w:r>
          </w:p>
        </w:tc>
        <w:tc>
          <w:tcPr>
            <w:tcW w:type="dxa" w:w="2520"/>
          </w:tcPr>
          <w:p>
            <w:r>
              <w:t>Required</w:t>
            </w:r>
          </w:p>
        </w:tc>
      </w:tr>
      <w:tr>
        <w:tc>
          <w:tcPr>
            <w:tcW w:type="dxa" w:w="2520"/>
          </w:tcPr>
          <w:p>
            <w:r>
              <w:t>Provider binding</w:t>
            </w:r>
          </w:p>
        </w:tc>
        <w:tc>
          <w:tcPr>
            <w:tcW w:type="dxa" w:w="2520"/>
          </w:tcPr>
          <w:p>
            <w:r>
              <w:t>Two active/pending bindings for same Session</w:t>
            </w:r>
          </w:p>
        </w:tc>
        <w:tc>
          <w:tcPr>
            <w:tcW w:type="dxa" w:w="2520"/>
          </w:tcPr>
          <w:p>
            <w:r>
              <w:t>Second rejected</w:t>
            </w:r>
          </w:p>
        </w:tc>
        <w:tc>
          <w:tcPr>
            <w:tcW w:type="dxa" w:w="2520"/>
          </w:tcPr>
          <w:p>
            <w:r>
              <w:t>Required</w:t>
            </w:r>
          </w:p>
        </w:tc>
      </w:tr>
      <w:tr>
        <w:tc>
          <w:tcPr>
            <w:tcW w:type="dxa" w:w="2520"/>
          </w:tcPr>
          <w:p>
            <w:r>
              <w:t>Provider history</w:t>
            </w:r>
          </w:p>
        </w:tc>
        <w:tc>
          <w:tcPr>
            <w:tcW w:type="dxa" w:w="2520"/>
          </w:tcPr>
          <w:p>
            <w:r>
              <w:t>Replace active binding with ended/replaced</w:t>
            </w:r>
          </w:p>
        </w:tc>
        <w:tc>
          <w:tcPr>
            <w:tcW w:type="dxa" w:w="2520"/>
          </w:tcPr>
          <w:p>
            <w:r>
              <w:t>History retained; new active allowed</w:t>
            </w:r>
          </w:p>
        </w:tc>
        <w:tc>
          <w:tcPr>
            <w:tcW w:type="dxa" w:w="2520"/>
          </w:tcPr>
          <w:p>
            <w:r>
              <w:t>Required</w:t>
            </w:r>
          </w:p>
        </w:tc>
      </w:tr>
      <w:tr>
        <w:tc>
          <w:tcPr>
            <w:tcW w:type="dxa" w:w="2520"/>
          </w:tcPr>
          <w:p>
            <w:r>
              <w:t>Evidence idempotency</w:t>
            </w:r>
          </w:p>
        </w:tc>
        <w:tc>
          <w:tcPr>
            <w:tcW w:type="dxa" w:w="2520"/>
          </w:tcPr>
          <w:p>
            <w:r>
              <w:t>Same idempotency key twice</w:t>
            </w:r>
          </w:p>
        </w:tc>
        <w:tc>
          <w:tcPr>
            <w:tcW w:type="dxa" w:w="2520"/>
          </w:tcPr>
          <w:p>
            <w:r>
              <w:t>Second insert rejected/idempotently absorbed by service</w:t>
            </w:r>
          </w:p>
        </w:tc>
        <w:tc>
          <w:tcPr>
            <w:tcW w:type="dxa" w:w="2520"/>
          </w:tcPr>
          <w:p>
            <w:r>
              <w:t>Required</w:t>
            </w:r>
          </w:p>
        </w:tc>
      </w:tr>
      <w:tr>
        <w:tc>
          <w:tcPr>
            <w:tcW w:type="dxa" w:w="2520"/>
          </w:tcPr>
          <w:p>
            <w:r>
              <w:t>Legacy isolation</w:t>
            </w:r>
          </w:p>
        </w:tc>
        <w:tc>
          <w:tcPr>
            <w:tcW w:type="dxa" w:w="2520"/>
          </w:tcPr>
          <w:p>
            <w:r>
              <w:t>M04/M05 row counts and definitions unchanged</w:t>
            </w:r>
          </w:p>
        </w:tc>
        <w:tc>
          <w:tcPr>
            <w:tcW w:type="dxa" w:w="2520"/>
          </w:tcPr>
          <w:p>
            <w:r>
              <w:t>No destructive changes</w:t>
            </w:r>
          </w:p>
        </w:tc>
        <w:tc>
          <w:tcPr>
            <w:tcW w:type="dxa" w:w="2520"/>
          </w:tcPr>
          <w:p>
            <w:r>
              <w:t>Required</w:t>
            </w:r>
          </w:p>
        </w:tc>
      </w:tr>
      <w:tr>
        <w:tc>
          <w:tcPr>
            <w:tcW w:type="dxa" w:w="2520"/>
          </w:tcPr>
          <w:p>
            <w:r>
              <w:t>Rollback</w:t>
            </w:r>
          </w:p>
        </w:tc>
        <w:tc>
          <w:tcPr>
            <w:tcW w:type="dxa" w:w="2520"/>
          </w:tcPr>
          <w:p>
            <w:r>
              <w:t>Rollback after successful staging migration</w:t>
            </w:r>
          </w:p>
        </w:tc>
        <w:tc>
          <w:tcPr>
            <w:tcW w:type="dxa" w:w="2520"/>
          </w:tcPr>
          <w:p>
            <w:r>
              <w:t>New resources removed; baseline intact</w:t>
            </w:r>
          </w:p>
        </w:tc>
        <w:tc>
          <w:tcPr>
            <w:tcW w:type="dxa" w:w="2520"/>
          </w:tcPr>
          <w:p>
            <w:r>
              <w:t>Required</w:t>
            </w:r>
          </w:p>
        </w:tc>
      </w:tr>
      <w:tr>
        <w:tc>
          <w:tcPr>
            <w:tcW w:type="dxa" w:w="2520"/>
          </w:tcPr>
          <w:p>
            <w:r>
              <w:t>Performance</w:t>
            </w:r>
          </w:p>
        </w:tc>
        <w:tc>
          <w:tcPr>
            <w:tcW w:type="dxa" w:w="2520"/>
          </w:tcPr>
          <w:p>
            <w:r>
              <w:t>Capture migration duration/locks</w:t>
            </w:r>
          </w:p>
        </w:tc>
        <w:tc>
          <w:tcPr>
            <w:tcW w:type="dxa" w:w="2520"/>
          </w:tcPr>
          <w:p>
            <w:r>
              <w:t>Within acceptable threshold</w:t>
            </w:r>
          </w:p>
        </w:tc>
        <w:tc>
          <w:tcPr>
            <w:tcW w:type="dxa" w:w="2520"/>
          </w:tcPr>
          <w:p>
            <w:r>
              <w:t>Required</w:t>
            </w:r>
          </w:p>
        </w:tc>
      </w:tr>
    </w:tbl>
    <w:p>
      <w:pPr>
        <w:pStyle w:val="Heading1"/>
      </w:pPr>
      <w:r>
        <w:t>7. Runtime Authorization Checks to Pay Special Attention To</w:t>
      </w:r>
    </w:p>
    <w:p>
      <w:pPr>
        <w:pStyle w:val="ListBullet"/>
      </w:pPr>
      <w:r>
        <w:t>Organization membership must be authoritative; client-supplied organization_id must never bypass membership.</w:t>
      </w:r>
    </w:p>
    <w:p>
      <w:pPr>
        <w:pStyle w:val="ListBullet"/>
      </w:pPr>
      <w:r>
        <w:t>Learner must not self-promote Session Enrollment from PENDING to ACTIVE/COMPLETED.</w:t>
      </w:r>
    </w:p>
    <w:p>
      <w:pPr>
        <w:pStyle w:val="ListBullet"/>
      </w:pPr>
      <w:r>
        <w:t>PARTNER visibility intentionally has no physical Partner predicate in MVP; staging must not accidentally expose it as public.</w:t>
      </w:r>
    </w:p>
    <w:p>
      <w:pPr>
        <w:pStyle w:val="ListBullet"/>
      </w:pPr>
      <w:r>
        <w:t>PRIVATE visibility must not become readable merely because the Session row is authenticated.</w:t>
      </w:r>
    </w:p>
    <w:p>
      <w:pPr>
        <w:pStyle w:val="ListBullet"/>
      </w:pPr>
      <w:r>
        <w:t>Provider identifiers must not be treated as user authorization.</w:t>
      </w:r>
    </w:p>
    <w:p>
      <w:pPr>
        <w:pStyle w:val="ListBullet"/>
      </w:pPr>
      <w:r>
        <w:t>Host and Instructor capabilities must remain separate; dual capability requires explicit authorization.</w:t>
      </w:r>
    </w:p>
    <w:p>
      <w:pPr>
        <w:pStyle w:val="Heading1"/>
      </w:pPr>
      <w:r>
        <w:t>8. Additional Review Observation</w:t>
      </w:r>
    </w:p>
    <w:p>
      <w:r>
        <w:t>The current frozen candidate's artifact read policy is intentionally conservative and grants owner/Organization-context access. It does not yet encode learner access to artifacts based on active Session Enrollment. This is not a schema defect, but it is a behavior/authorization gap that must be resolved before a recording/artifact feature is released to enrolled learners.</w:t>
      </w:r>
    </w:p>
    <w:p>
      <w:pPr>
        <w:pStyle w:val="Heading1"/>
      </w:pPr>
      <w:r>
        <w:t>9. Production Authorization Status</w:t>
      </w:r>
    </w:p>
    <w:p>
      <w:r>
        <w:t>Production execution remains NOT AUTHORIZED. TECH-14 cannot promote the migration because runtime verification has not actually occurred and exact permission/RBAC mapping remains a controlled implementation gate.</w:t>
      </w:r>
    </w:p>
    <w:p>
      <w:pPr>
        <w:pStyle w:val="Heading1"/>
      </w:pPr>
      <w:r>
        <w:t>10. Required Next Action</w:t>
      </w:r>
    </w:p>
    <w:p>
      <w:pPr>
        <w:pStyle w:val="ListNumber"/>
      </w:pPr>
      <w:r>
        <w:t>Provide or connect a disposable/staging PostgreSQL environment using the exact current baseline.</w:t>
      </w:r>
    </w:p>
    <w:p>
      <w:pPr>
        <w:pStyle w:val="ListNumber"/>
      </w:pPr>
      <w:r>
        <w:t>Restore/clone the baseline into the staging environment.</w:t>
      </w:r>
    </w:p>
    <w:p>
      <w:pPr>
        <w:pStyle w:val="ListNumber"/>
      </w:pPr>
      <w:r>
        <w:t>Execute TECH-13 frozen candidate exactly once in a controlled transaction/migration runner.</w:t>
      </w:r>
    </w:p>
    <w:p>
      <w:pPr>
        <w:pStyle w:val="ListNumber"/>
      </w:pPr>
      <w:r>
        <w:t>Run all TECH-14 runtime tests and capture results.</w:t>
      </w:r>
    </w:p>
    <w:p>
      <w:pPr>
        <w:pStyle w:val="ListNumber"/>
      </w:pPr>
      <w:r>
        <w:t>Resolve artifact-read authorization behavior before enabling recording delivery.</w:t>
      </w:r>
    </w:p>
    <w:p>
      <w:pPr>
        <w:pStyle w:val="ListNumber"/>
      </w:pPr>
      <w:r>
        <w:t>Reconcile exact Session permissions and role assignments.</w:t>
      </w:r>
    </w:p>
    <w:p>
      <w:pPr>
        <w:pStyle w:val="ListNumber"/>
      </w:pPr>
      <w:r>
        <w:t>Only after all required tests pass, prepare production execution authorization.</w:t>
      </w:r>
    </w:p>
    <w:p>
      <w:pPr>
        <w:pStyle w:val="Heading1"/>
      </w:pPr>
      <w:r>
        <w:t>11. Gate Result</w:t>
      </w:r>
    </w:p>
    <w:p>
      <w:r>
        <w:t>TECH-14 = PASS — STATIC PRE-FLIGHT READY, RUNTIME EXECUTION BLOCKED BY ENVIRONMENT. No architecture decision is reopened. No new user Open Decision is required. The blocking issue is infrastructure/runtime availability plus the existing permission/RBAC implementation gate.</w:t>
      </w:r>
    </w:p>
    <w:p>
      <w:pPr>
        <w:pStyle w:val="Heading1"/>
      </w:pPr>
      <w:r>
        <w:t>12. Next Step — TECH-15</w:t>
      </w:r>
    </w:p>
    <w:p>
      <w:r>
        <w:t>TECH-15 — Permission Catalogue Reconciliation &amp; Staging Execution Authorization. First reconcile AEP4 Session capability families against the actual permission catalogue, then—once a PostgreSQL staging environment is available—execute the frozen candidate and record runtime evidence. If the environment remains unavailable, TECH-15 should stop at authorization readiness and not fabricate execution results.</w:t>
      </w:r>
    </w:p>
    <w:p>
      <w:pPr>
        <w:pStyle w:val="Heading1"/>
      </w:pPr>
      <w:r>
        <w:t>13. Traceability</w:t>
      </w:r>
    </w:p>
    <w:p>
      <w:pPr>
        <w:pStyle w:val="ListBullet"/>
      </w:pPr>
      <w:r>
        <w:t>TECH-13 — Final Migration Candidate &amp; Authorization Gate.</w:t>
      </w:r>
    </w:p>
    <w:p>
      <w:pPr>
        <w:pStyle w:val="ListBullet"/>
      </w:pPr>
      <w:r>
        <w:t>TECH-12 — Migration Verification / Dry-Run Review.</w:t>
      </w:r>
    </w:p>
    <w:p>
      <w:pPr>
        <w:pStyle w:val="ListBullet"/>
      </w:pPr>
      <w:r>
        <w:t>Database-Migration-Full-v1_0__1_.sql.</w:t>
      </w:r>
    </w:p>
    <w:p>
      <w:pPr>
        <w:pStyle w:val="ListBullet"/>
      </w:pPr>
      <w:r>
        <w:t>0002_m10_rbac_foundation__1_.sql.</w:t>
      </w:r>
    </w:p>
    <w:p>
      <w:pPr>
        <w:pStyle w:val="ListBullet"/>
      </w:pPr>
      <w:r>
        <w:t>0007_m12_organization-FIXED.sql.</w:t>
      </w:r>
    </w:p>
    <w:p>
      <w:pPr>
        <w:pStyle w:val="ListBullet"/>
      </w:pPr>
      <w:r>
        <w:t>0009_m04_learning_center__1_.sql.</w:t>
      </w:r>
    </w:p>
    <w:p>
      <w:pPr>
        <w:pStyle w:val="ListBullet"/>
      </w:pPr>
      <w:r>
        <w:t>0010_m05_events-FIXED.sql.</w:t>
      </w:r>
    </w:p>
    <w:p>
      <w:pPr>
        <w:pStyle w:val="ListBullet"/>
      </w:pPr>
      <w:r>
        <w:t>TECH-08 / TECH-09 / TECH-10 / TECH-11 / TECH-12.</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