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TECH-16</w:t>
      </w:r>
    </w:p>
    <w:p>
      <w:pPr>
        <w:jc w:val="center"/>
      </w:pPr>
      <w:r>
        <w:rPr>
          <w:i/>
        </w:rPr>
        <w:t>Provider Capability Verification — Learning Session</w:t>
      </w:r>
    </w:p>
    <w:p>
      <w:r>
        <w:rPr>
          <w:b/>
        </w:rPr>
        <w:t xml:space="preserve">Status: </w:t>
      </w:r>
      <w:r>
        <w:t>PASS — CAPABILITY EVIDENCE SUFFICIENT FOR PROVIDER-NEUTRAL ADAPTER DESIGN; NO VENDOR SELECTION MADE</w:t>
      </w:r>
    </w:p>
    <w:p>
      <w:pPr>
        <w:pStyle w:val="Heading1"/>
      </w:pPr>
      <w:r>
        <w:t>1. Scope</w:t>
      </w:r>
    </w:p>
    <w:p>
      <w:r>
        <w:t>TECH-16 verifies the currently relevant capabilities of Daily, LiveKit, Zoom, Google Meet and YouTube Live for the already-governed Learning Session architecture. This is capability verification, not vendor selection, pricing comparison, or procurement approval.</w:t>
      </w:r>
    </w:p>
    <w:p>
      <w:pPr>
        <w:pStyle w:val="Heading1"/>
      </w:pPr>
      <w:r>
        <w:t>2. Governing Source Boundary</w:t>
      </w:r>
    </w:p>
    <w:p>
      <w:pPr>
        <w:pStyle w:val="ListBullet"/>
      </w:pPr>
      <w:r>
        <w:t>AEP4 source rule: Provider is infrastructure; provider-specific logic remains behind Provider Adapter.</w:t>
      </w:r>
    </w:p>
    <w:p>
      <w:pPr>
        <w:pStyle w:val="ListBullet"/>
      </w:pPr>
      <w:r>
        <w:t>Learning Session remains System of Record for semantic Session identity, lifecycle, participant relationship, attendance/completion outcome, provider reference, recording reference and audit/provenance.</w:t>
      </w:r>
    </w:p>
    <w:p>
      <w:pPr>
        <w:pStyle w:val="ListBullet"/>
      </w:pPr>
      <w:r>
        <w:t>Authentication → eligibility/context → authorization → provider access is the access chain; external provider/session ID is not authorization.</w:t>
      </w:r>
    </w:p>
    <w:p>
      <w:pPr>
        <w:pStyle w:val="ListBullet"/>
      </w:pPr>
      <w:r>
        <w:t>Provider events are evidence and must pass validation, normalization, correlation and idempotency before affecting Learning state.</w:t>
      </w:r>
    </w:p>
    <w:p>
      <w:pPr>
        <w:pStyle w:val="ListBullet"/>
      </w:pPr>
      <w:r>
        <w:t>Provider switching must preserve semantic Session identity/history.</w:t>
      </w:r>
    </w:p>
    <w:p>
      <w:pPr>
        <w:pStyle w:val="ListBullet"/>
      </w:pPr>
      <w:r>
        <w:t>Automatic provider failover remains deferred under AEP4-OD-08.</w:t>
      </w:r>
    </w:p>
    <w:p>
      <w:pPr>
        <w:pStyle w:val="Heading1"/>
      </w:pPr>
      <w:r>
        <w:t>3. Capability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t>Provider</w:t>
            </w:r>
          </w:p>
        </w:tc>
        <w:tc>
          <w:tcPr>
            <w:tcW w:type="dxa" w:w="1440"/>
            <w:shd w:fill="D9EAF7"/>
          </w:tcPr>
          <w:p>
            <w:r>
              <w:t>Session/room creation</w:t>
            </w:r>
          </w:p>
        </w:tc>
        <w:tc>
          <w:tcPr>
            <w:tcW w:type="dxa" w:w="1440"/>
            <w:shd w:fill="D9EAF7"/>
          </w:tcPr>
          <w:p>
            <w:r>
              <w:t>Server-side participant/access control</w:t>
            </w:r>
          </w:p>
        </w:tc>
        <w:tc>
          <w:tcPr>
            <w:tcW w:type="dxa" w:w="1440"/>
            <w:shd w:fill="D9EAF7"/>
          </w:tcPr>
          <w:p>
            <w:r>
              <w:t>Webhooks/events</w:t>
            </w:r>
          </w:p>
        </w:tc>
        <w:tc>
          <w:tcPr>
            <w:tcW w:type="dxa" w:w="1440"/>
            <w:shd w:fill="D9EAF7"/>
          </w:tcPr>
          <w:p>
            <w:r>
              <w:t>Recording</w:t>
            </w:r>
          </w:p>
        </w:tc>
        <w:tc>
          <w:tcPr>
            <w:tcW w:type="dxa" w:w="1440"/>
            <w:shd w:fill="D9EAF7"/>
          </w:tcPr>
          <w:p>
            <w:r>
              <w:t>Evidence fit</w:t>
            </w:r>
          </w:p>
        </w:tc>
        <w:tc>
          <w:tcPr>
            <w:tcW w:type="dxa" w:w="1440"/>
            <w:shd w:fill="D9EAF7"/>
          </w:tcPr>
          <w:p>
            <w:r>
              <w:t>Architectural role</w:t>
            </w:r>
          </w:p>
        </w:tc>
      </w:tr>
      <w:tr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YES — Rooms API</w:t>
            </w:r>
          </w:p>
        </w:tc>
        <w:tc>
          <w:tcPr>
            <w:tcW w:type="dxa" w:w="1440"/>
          </w:tcPr>
          <w:p>
            <w:r>
              <w:t>YES — meeting tokens can be scoped to room</w:t>
            </w:r>
          </w:p>
        </w:tc>
        <w:tc>
          <w:tcPr>
            <w:tcW w:type="dxa" w:w="1440"/>
          </w:tcPr>
          <w:p>
            <w:r>
              <w:t>YES — domain webhooks and meeting/participant/recording events</w:t>
            </w:r>
          </w:p>
        </w:tc>
        <w:tc>
          <w:tcPr>
            <w:tcW w:type="dxa" w:w="1440"/>
          </w:tcPr>
          <w:p>
            <w:r>
              <w:t>YES — recording APIs; recording webhooks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Primary candidate for embedded/custom session</w:t>
            </w:r>
          </w:p>
        </w:tc>
      </w:tr>
      <w:tr>
        <w:tc>
          <w:tcPr>
            <w:tcW w:type="dxa" w:w="1440"/>
          </w:tcPr>
          <w:p>
            <w:r>
              <w:t>LiveKit</w:t>
            </w:r>
          </w:p>
        </w:tc>
        <w:tc>
          <w:tcPr>
            <w:tcW w:type="dxa" w:w="1440"/>
          </w:tcPr>
          <w:p>
            <w:r>
              <w:t>YES — Room Service API</w:t>
            </w:r>
          </w:p>
        </w:tc>
        <w:tc>
          <w:tcPr>
            <w:tcW w:type="dxa" w:w="1440"/>
          </w:tcPr>
          <w:p>
            <w:r>
              <w:t>YES — server tokens/room grants; room admin controls</w:t>
            </w:r>
          </w:p>
        </w:tc>
        <w:tc>
          <w:tcPr>
            <w:tcW w:type="dxa" w:w="1440"/>
          </w:tcPr>
          <w:p>
            <w:r>
              <w:t>YES — signed server webhooks for room/participant/track/egress</w:t>
            </w:r>
          </w:p>
        </w:tc>
        <w:tc>
          <w:tcPr>
            <w:tcW w:type="dxa" w:w="1440"/>
          </w:tcPr>
          <w:p>
            <w:r>
              <w:t>YES — Egress; MP4/HLS/stream outputs</w:t>
            </w:r>
          </w:p>
        </w:tc>
        <w:tc>
          <w:tcPr>
            <w:tcW w:type="dxa" w:w="1440"/>
          </w:tcPr>
          <w:p>
            <w:r>
              <w:t>VERY STRONG</w:t>
            </w:r>
          </w:p>
        </w:tc>
        <w:tc>
          <w:tcPr>
            <w:tcW w:type="dxa" w:w="1440"/>
          </w:tcPr>
          <w:p>
            <w:r>
              <w:t>Primary candidate for embedded/custom session</w:t>
            </w:r>
          </w:p>
        </w:tc>
      </w:tr>
      <w:tr>
        <w:tc>
          <w:tcPr>
            <w:tcW w:type="dxa" w:w="1440"/>
          </w:tcPr>
          <w:p>
            <w:r>
              <w:t>Zoom</w:t>
            </w:r>
          </w:p>
        </w:tc>
        <w:tc>
          <w:tcPr>
            <w:tcW w:type="dxa" w:w="1440"/>
          </w:tcPr>
          <w:p>
            <w:r>
              <w:t>YES — Meetings APIs / Meeting SDK</w:t>
            </w:r>
          </w:p>
        </w:tc>
        <w:tc>
          <w:tcPr>
            <w:tcW w:type="dxa" w:w="1440"/>
          </w:tcPr>
          <w:p>
            <w:r>
              <w:t>YES — JWT/ZAK/OBF authorization model</w:t>
            </w:r>
          </w:p>
        </w:tc>
        <w:tc>
          <w:tcPr>
            <w:tcW w:type="dxa" w:w="1440"/>
          </w:tcPr>
          <w:p>
            <w:r>
              <w:t>YES — Meeting webhooks</w:t>
            </w:r>
          </w:p>
        </w:tc>
        <w:tc>
          <w:tcPr>
            <w:tcW w:type="dxa" w:w="1440"/>
          </w:tcPr>
          <w:p>
            <w:r>
              <w:t>YES — Cloud Recording APIs/webhooks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External-provider/embedded meeting candidate</w:t>
            </w:r>
          </w:p>
        </w:tc>
      </w:tr>
      <w:tr>
        <w:tc>
          <w:tcPr>
            <w:tcW w:type="dxa" w:w="1440"/>
          </w:tcPr>
          <w:p>
            <w:r>
              <w:t>Google Meet</w:t>
            </w:r>
          </w:p>
        </w:tc>
        <w:tc>
          <w:tcPr>
            <w:tcW w:type="dxa" w:w="1440"/>
          </w:tcPr>
          <w:p>
            <w:r>
              <w:t>YES — Meet API spaces.create</w:t>
            </w:r>
          </w:p>
        </w:tc>
        <w:tc>
          <w:tcPr>
            <w:tcW w:type="dxa" w:w="1440"/>
          </w:tcPr>
          <w:p>
            <w:r>
              <w:t>YES — Google identity/API authorization model</w:t>
            </w:r>
          </w:p>
        </w:tc>
        <w:tc>
          <w:tcPr>
            <w:tcW w:type="dxa" w:w="1440"/>
          </w:tcPr>
          <w:p>
            <w:r>
              <w:t>API provides conference records; event notification capabilities require Google Workspace event integration design</w:t>
            </w:r>
          </w:p>
        </w:tc>
        <w:tc>
          <w:tcPr>
            <w:tcW w:type="dxa" w:w="1440"/>
          </w:tcPr>
          <w:p>
            <w:r>
              <w:t>YES — conferenceRecords.recordings with Drive destination</w:t>
            </w:r>
          </w:p>
        </w:tc>
        <w:tc>
          <w:tcPr>
            <w:tcW w:type="dxa" w:w="1440"/>
          </w:tcPr>
          <w:p>
            <w:r>
              <w:t>STRONG for Workspace-centered flows</w:t>
            </w:r>
          </w:p>
        </w:tc>
        <w:tc>
          <w:tcPr>
            <w:tcW w:type="dxa" w:w="1440"/>
          </w:tcPr>
          <w:p>
            <w:r>
              <w:t>External-provider candidate</w:t>
            </w:r>
          </w:p>
        </w:tc>
      </w:tr>
      <w:tr>
        <w:tc>
          <w:tcPr>
            <w:tcW w:type="dxa" w:w="1440"/>
          </w:tcPr>
          <w:p>
            <w:r>
              <w:t>YouTube Live</w:t>
            </w:r>
          </w:p>
        </w:tc>
        <w:tc>
          <w:tcPr>
            <w:tcW w:type="dxa" w:w="1440"/>
          </w:tcPr>
          <w:p>
            <w:r>
              <w:t>YES — liveBroadcasts/liveStreams APIs</w:t>
            </w:r>
          </w:p>
        </w:tc>
        <w:tc>
          <w:tcPr>
            <w:tcW w:type="dxa" w:w="1440"/>
          </w:tcPr>
          <w:p>
            <w:r>
              <w:t>Channel/OAuth authorization; audience is broadcast-oriented</w:t>
            </w:r>
          </w:p>
        </w:tc>
        <w:tc>
          <w:tcPr>
            <w:tcW w:type="dxa" w:w="1440"/>
          </w:tcPr>
          <w:p>
            <w:r>
              <w:t>Live API lifecycle/status; not equivalent to interactive participant webhooks</w:t>
            </w:r>
          </w:p>
        </w:tc>
        <w:tc>
          <w:tcPr>
            <w:tcW w:type="dxa" w:w="1440"/>
          </w:tcPr>
          <w:p>
            <w:r>
              <w:t>YES — completed broadcast becomes YouTube video</w:t>
            </w:r>
          </w:p>
        </w:tc>
        <w:tc>
          <w:tcPr>
            <w:tcW w:type="dxa" w:w="1440"/>
          </w:tcPr>
          <w:p>
            <w:r>
              <w:t>STRONG for broadcast/ON_DEMAND flow; weak for interactive attendance</w:t>
            </w:r>
          </w:p>
        </w:tc>
        <w:tc>
          <w:tcPr>
            <w:tcW w:type="dxa" w:w="1440"/>
          </w:tcPr>
          <w:p>
            <w:r>
              <w:t>Broadcast/streaming provider, not general interactive room</w:t>
            </w:r>
          </w:p>
        </w:tc>
      </w:tr>
    </w:tbl>
    <w:p>
      <w:pPr>
        <w:pStyle w:val="Heading1"/>
      </w:pPr>
      <w:r>
        <w:t>4. Source / Web Evidence Notes</w:t>
      </w:r>
    </w:p>
    <w:p>
      <w:r>
        <w:rPr>
          <w:b/>
        </w:rPr>
        <w:t xml:space="preserve">Daily: </w:t>
      </w:r>
      <w:r>
        <w:t>Daily Rooms API creates rooms; private rooms can be protected with meeting tokens. Daily webhooks can deliver meeting/recording events, and recording APIs support cloud/raw-track modes. citeturn1search3turn1search2turn1search4turn1search7</w:t>
      </w:r>
    </w:p>
    <w:p>
      <w:r>
        <w:rPr>
          <w:b/>
        </w:rPr>
        <w:t xml:space="preserve">LiveKit: </w:t>
      </w:r>
      <w:r>
        <w:t>LiveKit Room Service manages rooms/participants/tracks; signed webhooks expose room, participant and egress events; Egress supports MP4/HLS and live-stream outputs. citeturn0search4turn0search1turn0search5turn0search12</w:t>
      </w:r>
    </w:p>
    <w:p>
      <w:r>
        <w:rPr>
          <w:b/>
        </w:rPr>
        <w:t xml:space="preserve">Zoom: </w:t>
      </w:r>
      <w:r>
        <w:t>Zoom Meeting SDK embeds meeting/webinar experiences; current authorization uses JWT and, where applicable, ZAK/OBF tokens. Meeting webhooks and Cloud Recording APIs provide event/recording evidence. citeturn0search7turn0search2turn0search6turn0search11</w:t>
      </w:r>
    </w:p>
    <w:p>
      <w:r>
        <w:rPr>
          <w:b/>
        </w:rPr>
        <w:t xml:space="preserve">Google Meet: </w:t>
      </w:r>
      <w:r>
        <w:t>Meet API supports creating/managing Spaces and exposes conferenceRecords, participants, participant sessions, recordings and transcripts. Conference records expire 30 days after the conference ends according to the API resource documentation. citeturn0search0turn0search3turn0search10</w:t>
      </w:r>
    </w:p>
    <w:p>
      <w:r>
        <w:rPr>
          <w:b/>
        </w:rPr>
        <w:t xml:space="preserve">YouTube Live: </w:t>
      </w:r>
      <w:r>
        <w:t>YouTube Live API separates liveBroadcast and liveStream resources; broadcasts can be created, transitioned and bound to streams. A completed broadcast becomes a YouTube video after processing. citeturn1search0turn1search5turn1search8</w:t>
      </w:r>
    </w:p>
    <w:p>
      <w:pPr>
        <w:pStyle w:val="Heading1"/>
      </w:pPr>
      <w:r>
        <w:t>5. Architectural Interpretation</w:t>
      </w:r>
    </w:p>
    <w:p>
      <w:r>
        <w:t>The evidence supports one provider-neutral Session abstraction with provider-specific adapters. No provider should be allowed to define the canonical Learning Session lifecycle or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Canonical concept</w:t>
            </w:r>
          </w:p>
        </w:tc>
        <w:tc>
          <w:tcPr>
            <w:tcW w:type="dxa" w:w="3360"/>
            <w:shd w:fill="D9EAF7"/>
          </w:tcPr>
          <w:p>
            <w:r>
              <w:t>Provider-neutral field/contract role</w:t>
            </w:r>
          </w:p>
        </w:tc>
        <w:tc>
          <w:tcPr>
            <w:tcW w:type="dxa" w:w="3360"/>
            <w:shd w:fill="D9EAF7"/>
          </w:tcPr>
          <w:p>
            <w:r>
              <w:t>Provider examples</w:t>
            </w:r>
          </w:p>
        </w:tc>
      </w:tr>
      <w:tr>
        <w:tc>
          <w:tcPr>
            <w:tcW w:type="dxa" w:w="3360"/>
          </w:tcPr>
          <w:p>
            <w:r>
              <w:t>Session identity</w:t>
            </w:r>
          </w:p>
        </w:tc>
        <w:tc>
          <w:tcPr>
            <w:tcW w:type="dxa" w:w="3360"/>
          </w:tcPr>
          <w:p>
            <w:r>
              <w:t>learning_session.id</w:t>
            </w:r>
          </w:p>
        </w:tc>
        <w:tc>
          <w:tcPr>
            <w:tcW w:type="dxa" w:w="3360"/>
          </w:tcPr>
          <w:p>
            <w:r>
              <w:t>Daily room name/meeting ID, LiveKit room, Zoom meeting UUID/ID, Meet space, YouTube broadcast</w:t>
            </w:r>
          </w:p>
        </w:tc>
      </w:tr>
      <w:tr>
        <w:tc>
          <w:tcPr>
            <w:tcW w:type="dxa" w:w="3360"/>
          </w:tcPr>
          <w:p>
            <w:r>
              <w:t>Provider reference</w:t>
            </w:r>
          </w:p>
        </w:tc>
        <w:tc>
          <w:tcPr>
            <w:tcW w:type="dxa" w:w="3360"/>
          </w:tcPr>
          <w:p>
            <w:r>
              <w:t>provider_key + external reference</w:t>
            </w:r>
          </w:p>
        </w:tc>
        <w:tc>
          <w:tcPr>
            <w:tcW w:type="dxa" w:w="3360"/>
          </w:tcPr>
          <w:p>
            <w:r>
              <w:t>Provider-specific room/meeting/space/broadcast ID</w:t>
            </w:r>
          </w:p>
        </w:tc>
      </w:tr>
      <w:tr>
        <w:tc>
          <w:tcPr>
            <w:tcW w:type="dxa" w:w="3360"/>
          </w:tcPr>
          <w:p>
            <w:r>
              <w:t>Access token</w:t>
            </w:r>
          </w:p>
        </w:tc>
        <w:tc>
          <w:tcPr>
            <w:tcW w:type="dxa" w:w="3360"/>
          </w:tcPr>
          <w:p>
            <w:r>
              <w:t>Server-generated short-lived provider credential</w:t>
            </w:r>
          </w:p>
        </w:tc>
        <w:tc>
          <w:tcPr>
            <w:tcW w:type="dxa" w:w="3360"/>
          </w:tcPr>
          <w:p>
            <w:r>
              <w:t>Daily meeting token; LiveKit access token; Zoom JWT/ZAK/OBF; Google OAuth</w:t>
            </w:r>
          </w:p>
        </w:tc>
      </w:tr>
      <w:tr>
        <w:tc>
          <w:tcPr>
            <w:tcW w:type="dxa" w:w="3360"/>
          </w:tcPr>
          <w:p>
            <w:r>
              <w:t>Participation evidence</w:t>
            </w:r>
          </w:p>
        </w:tc>
        <w:tc>
          <w:tcPr>
            <w:tcW w:type="dxa" w:w="3360"/>
          </w:tcPr>
          <w:p>
            <w:r>
              <w:t>Normalized participant/join/leave/session evidence</w:t>
            </w:r>
          </w:p>
        </w:tc>
        <w:tc>
          <w:tcPr>
            <w:tcW w:type="dxa" w:w="3360"/>
          </w:tcPr>
          <w:p>
            <w:r>
              <w:t>Daily/LiveKit webhooks; Zoom events; Meet conference records; YouTube is broadcast-oriented</w:t>
            </w:r>
          </w:p>
        </w:tc>
      </w:tr>
      <w:tr>
        <w:tc>
          <w:tcPr>
            <w:tcW w:type="dxa" w:w="3360"/>
          </w:tcPr>
          <w:p>
            <w:r>
              <w:t>Recording artifact</w:t>
            </w:r>
          </w:p>
        </w:tc>
        <w:tc>
          <w:tcPr>
            <w:tcW w:type="dxa" w:w="3360"/>
          </w:tcPr>
          <w:p>
            <w:r>
              <w:t>Provider/source reference + metadata</w:t>
            </w:r>
          </w:p>
        </w:tc>
        <w:tc>
          <w:tcPr>
            <w:tcW w:type="dxa" w:w="3360"/>
          </w:tcPr>
          <w:p>
            <w:r>
              <w:t>Daily recording; LiveKit Egress output; Zoom cloud recording; Meet Drive recording; YouTube video</w:t>
            </w:r>
          </w:p>
        </w:tc>
      </w:tr>
      <w:tr>
        <w:tc>
          <w:tcPr>
            <w:tcW w:type="dxa" w:w="3360"/>
          </w:tcPr>
          <w:p>
            <w:r>
              <w:t>Lifecycle evidence</w:t>
            </w:r>
          </w:p>
        </w:tc>
        <w:tc>
          <w:tcPr>
            <w:tcW w:type="dxa" w:w="3360"/>
          </w:tcPr>
          <w:p>
            <w:r>
              <w:t>Provider event/status normalized into Session state</w:t>
            </w:r>
          </w:p>
        </w:tc>
        <w:tc>
          <w:tcPr>
            <w:tcW w:type="dxa" w:w="3360"/>
          </w:tcPr>
          <w:p>
            <w:r>
              <w:t>Started/ended/egress/broadcast lifecycle</w:t>
            </w:r>
          </w:p>
        </w:tc>
      </w:tr>
    </w:tbl>
    <w:p>
      <w:pPr>
        <w:pStyle w:val="Heading1"/>
      </w:pPr>
      <w:r>
        <w:t>6. Provider Fit by Canonical Session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Provider</w:t>
            </w:r>
          </w:p>
        </w:tc>
        <w:tc>
          <w:tcPr>
            <w:tcW w:type="dxa" w:w="2016"/>
            <w:shd w:fill="D9EAF7"/>
          </w:tcPr>
          <w:p>
            <w:r>
              <w:t>BROADCAST</w:t>
            </w:r>
          </w:p>
        </w:tc>
        <w:tc>
          <w:tcPr>
            <w:tcW w:type="dxa" w:w="2016"/>
            <w:shd w:fill="D9EAF7"/>
          </w:tcPr>
          <w:p>
            <w:r>
              <w:t>INTERACTIVE</w:t>
            </w:r>
          </w:p>
        </w:tc>
        <w:tc>
          <w:tcPr>
            <w:tcW w:type="dxa" w:w="2016"/>
            <w:shd w:fill="D9EAF7"/>
          </w:tcPr>
          <w:p>
            <w:r>
              <w:t>ON_DEMAND</w:t>
            </w:r>
          </w:p>
        </w:tc>
        <w:tc>
          <w:tcPr>
            <w:tcW w:type="dxa" w:w="2016"/>
            <w:shd w:fill="D9EAF7"/>
          </w:tcPr>
          <w:p>
            <w:r>
              <w:t>Assessment</w:t>
            </w:r>
          </w:p>
        </w:tc>
      </w:tr>
      <w:tr>
        <w:tc>
          <w:tcPr>
            <w:tcW w:type="dxa" w:w="2016"/>
          </w:tcPr>
          <w:p>
            <w:r>
              <w:t>Daily</w:t>
            </w:r>
          </w:p>
        </w:tc>
        <w:tc>
          <w:tcPr>
            <w:tcW w:type="dxa" w:w="2016"/>
          </w:tcPr>
          <w:p>
            <w:r>
              <w:t>POSSIBLE</w:t>
            </w:r>
          </w:p>
        </w:tc>
        <w:tc>
          <w:tcPr>
            <w:tcW w:type="dxa" w:w="2016"/>
          </w:tcPr>
          <w:p>
            <w:r>
              <w:t>EXCELLENT</w:t>
            </w:r>
          </w:p>
        </w:tc>
        <w:tc>
          <w:tcPr>
            <w:tcW w:type="dxa" w:w="2016"/>
          </w:tcPr>
          <w:p>
            <w:r>
              <w:t>POSSIBLE via recording</w:t>
            </w:r>
          </w:p>
        </w:tc>
        <w:tc>
          <w:tcPr>
            <w:tcW w:type="dxa" w:w="2016"/>
          </w:tcPr>
          <w:p>
            <w:r>
              <w:t>Interactive-first</w:t>
            </w:r>
          </w:p>
        </w:tc>
      </w:tr>
      <w:tr>
        <w:tc>
          <w:tcPr>
            <w:tcW w:type="dxa" w:w="2016"/>
          </w:tcPr>
          <w:p>
            <w:r>
              <w:t>LiveKit</w:t>
            </w:r>
          </w:p>
        </w:tc>
        <w:tc>
          <w:tcPr>
            <w:tcW w:type="dxa" w:w="2016"/>
          </w:tcPr>
          <w:p>
            <w:r>
              <w:t>POSSIBLE</w:t>
            </w:r>
          </w:p>
        </w:tc>
        <w:tc>
          <w:tcPr>
            <w:tcW w:type="dxa" w:w="2016"/>
          </w:tcPr>
          <w:p>
            <w:r>
              <w:t>EXCELLENT</w:t>
            </w:r>
          </w:p>
        </w:tc>
        <w:tc>
          <w:tcPr>
            <w:tcW w:type="dxa" w:w="2016"/>
          </w:tcPr>
          <w:p>
            <w:r>
              <w:t>POSSIBLE via Egress/output</w:t>
            </w:r>
          </w:p>
        </w:tc>
        <w:tc>
          <w:tcPr>
            <w:tcW w:type="dxa" w:w="2016"/>
          </w:tcPr>
          <w:p>
            <w:r>
              <w:t>Interactive-first / highly programmable</w:t>
            </w:r>
          </w:p>
        </w:tc>
      </w:tr>
      <w:tr>
        <w:tc>
          <w:tcPr>
            <w:tcW w:type="dxa" w:w="2016"/>
          </w:tcPr>
          <w:p>
            <w:r>
              <w:t>Zoom</w:t>
            </w:r>
          </w:p>
        </w:tc>
        <w:tc>
          <w:tcPr>
            <w:tcW w:type="dxa" w:w="2016"/>
          </w:tcPr>
          <w:p>
            <w:r>
              <w:t>GOOD</w:t>
            </w:r>
          </w:p>
        </w:tc>
        <w:tc>
          <w:tcPr>
            <w:tcW w:type="dxa" w:w="2016"/>
          </w:tcPr>
          <w:p>
            <w:r>
              <w:t>EXCELLENT</w:t>
            </w:r>
          </w:p>
        </w:tc>
        <w:tc>
          <w:tcPr>
            <w:tcW w:type="dxa" w:w="2016"/>
          </w:tcPr>
          <w:p>
            <w:r>
              <w:t>POSSIBLE via recording</w:t>
            </w:r>
          </w:p>
        </w:tc>
        <w:tc>
          <w:tcPr>
            <w:tcW w:type="dxa" w:w="2016"/>
          </w:tcPr>
          <w:p>
            <w:r>
              <w:t>Meeting/webinar-first</w:t>
            </w:r>
          </w:p>
        </w:tc>
      </w:tr>
      <w:tr>
        <w:tc>
          <w:tcPr>
            <w:tcW w:type="dxa" w:w="2016"/>
          </w:tcPr>
          <w:p>
            <w:r>
              <w:t>Google Meet</w:t>
            </w:r>
          </w:p>
        </w:tc>
        <w:tc>
          <w:tcPr>
            <w:tcW w:type="dxa" w:w="2016"/>
          </w:tcPr>
          <w:p>
            <w:r>
              <w:t>GOOD</w:t>
            </w:r>
          </w:p>
        </w:tc>
        <w:tc>
          <w:tcPr>
            <w:tcW w:type="dxa" w:w="2016"/>
          </w:tcPr>
          <w:p>
            <w:r>
              <w:t>GOOD</w:t>
            </w:r>
          </w:p>
        </w:tc>
        <w:tc>
          <w:tcPr>
            <w:tcW w:type="dxa" w:w="2016"/>
          </w:tcPr>
          <w:p>
            <w:r>
              <w:t>POSSIBLE via recording/Drive</w:t>
            </w:r>
          </w:p>
        </w:tc>
        <w:tc>
          <w:tcPr>
            <w:tcW w:type="dxa" w:w="2016"/>
          </w:tcPr>
          <w:p>
            <w:r>
              <w:t>Workspace-centered</w:t>
            </w:r>
          </w:p>
        </w:tc>
      </w:tr>
      <w:tr>
        <w:tc>
          <w:tcPr>
            <w:tcW w:type="dxa" w:w="2016"/>
          </w:tcPr>
          <w:p>
            <w:r>
              <w:t>YouTube Live</w:t>
            </w:r>
          </w:p>
        </w:tc>
        <w:tc>
          <w:tcPr>
            <w:tcW w:type="dxa" w:w="2016"/>
          </w:tcPr>
          <w:p>
            <w:r>
              <w:t>EXCELLENT</w:t>
            </w:r>
          </w:p>
        </w:tc>
        <w:tc>
          <w:tcPr>
            <w:tcW w:type="dxa" w:w="2016"/>
          </w:tcPr>
          <w:p>
            <w:r>
              <w:t>LIMITED for participant interaction</w:t>
            </w:r>
          </w:p>
        </w:tc>
        <w:tc>
          <w:tcPr>
            <w:tcW w:type="dxa" w:w="2016"/>
          </w:tcPr>
          <w:p>
            <w:r>
              <w:t>EXCELLENT</w:t>
            </w:r>
          </w:p>
        </w:tc>
        <w:tc>
          <w:tcPr>
            <w:tcW w:type="dxa" w:w="2016"/>
          </w:tcPr>
          <w:p>
            <w:r>
              <w:t>Broadcast/recording-first</w:t>
            </w:r>
          </w:p>
        </w:tc>
      </w:tr>
    </w:tbl>
    <w:p>
      <w:pPr>
        <w:pStyle w:val="Heading1"/>
      </w:pPr>
      <w:r>
        <w:t>7. Important Technical Constraints</w:t>
      </w:r>
    </w:p>
    <w:p>
      <w:pPr>
        <w:pStyle w:val="ListBullet"/>
      </w:pPr>
      <w:r>
        <w:t>YouTube Live should not be modeled as a drop-in replacement for an interactive Session provider because its resource model is broadcast/stream oriented.</w:t>
      </w:r>
    </w:p>
    <w:p>
      <w:pPr>
        <w:pStyle w:val="ListBullet"/>
      </w:pPr>
      <w:r>
        <w:t>Google Meet conference records are not a permanent canonical evidence store; the documented conferenceRecord resource expires 30 days after the conference ends. Therefore RUMAHAGEN must persist normalized evidence required for long-term history.</w:t>
      </w:r>
    </w:p>
    <w:p>
      <w:pPr>
        <w:pStyle w:val="ListBullet"/>
      </w:pPr>
      <w:r>
        <w:t>Provider recording retention/availability differs by provider; RUMAHAGEN should persist a stable artifact reference plus provenance/retention metadata and not assume indefinite provider availability.</w:t>
      </w:r>
    </w:p>
    <w:p>
      <w:pPr>
        <w:pStyle w:val="ListBullet"/>
      </w:pPr>
      <w:r>
        <w:t>Provider-specific authorization credentials remain server/infrastructure controlled.</w:t>
      </w:r>
    </w:p>
    <w:p>
      <w:pPr>
        <w:pStyle w:val="ListBullet"/>
      </w:pPr>
      <w:r>
        <w:t>Provider webhook/event delivery must be normalized and idempotently processed before any Attendance or Completion state mutation.</w:t>
      </w:r>
    </w:p>
    <w:p>
      <w:pPr>
        <w:pStyle w:val="ListBullet"/>
      </w:pPr>
      <w:r>
        <w:t>Provider selection/failover policy remains outside this capability verification and must not be inferred from the matrix.</w:t>
      </w:r>
    </w:p>
    <w:p>
      <w:pPr>
        <w:pStyle w:val="Heading1"/>
      </w:pPr>
      <w:r>
        <w:t>8. Recommended Adapter Contract</w:t>
      </w:r>
    </w:p>
    <w:p>
      <w:pPr>
        <w:pStyle w:val="ListBullet"/>
      </w:pPr>
      <w:r>
        <w:t>createSession() → external provider reference + access configuration</w:t>
      </w:r>
    </w:p>
    <w:p>
      <w:pPr>
        <w:pStyle w:val="ListBullet"/>
      </w:pPr>
      <w:r>
        <w:t>getSessionStatus() → normalized provider lifecycle status</w:t>
      </w:r>
    </w:p>
    <w:p>
      <w:pPr>
        <w:pStyle w:val="ListBullet"/>
      </w:pPr>
      <w:r>
        <w:t>grantParticipantAccess() → provider credential/access artifact</w:t>
      </w:r>
    </w:p>
    <w:p>
      <w:pPr>
        <w:pStyle w:val="ListBullet"/>
      </w:pPr>
      <w:r>
        <w:t>revokeParticipantAccess() → provider-specific revocation where supported</w:t>
      </w:r>
    </w:p>
    <w:p>
      <w:pPr>
        <w:pStyle w:val="ListBullet"/>
      </w:pPr>
      <w:r>
        <w:t>list/receiveParticipationEvidence() → normalized participant/session evidence</w:t>
      </w:r>
    </w:p>
    <w:p>
      <w:pPr>
        <w:pStyle w:val="ListBullet"/>
      </w:pPr>
      <w:r>
        <w:t>startRecording()/stopRecording() → provider recording control where supported</w:t>
      </w:r>
    </w:p>
    <w:p>
      <w:pPr>
        <w:pStyle w:val="ListBullet"/>
      </w:pPr>
      <w:r>
        <w:t>getRecordingArtifact() → stable provider/source reference</w:t>
      </w:r>
    </w:p>
    <w:p>
      <w:pPr>
        <w:pStyle w:val="ListBullet"/>
      </w:pPr>
      <w:r>
        <w:t>receiveWebhook() → validated, correlated, idempotent evidence</w:t>
      </w:r>
    </w:p>
    <w:p>
      <w:pPr>
        <w:pStyle w:val="ListBullet"/>
      </w:pPr>
      <w:r>
        <w:t>endSession() → provider-specific end operation where supported</w:t>
      </w:r>
    </w:p>
    <w:p>
      <w:pPr>
        <w:pStyle w:val="Heading1"/>
      </w:pPr>
      <w:r>
        <w:t>9. Capability Gaps / Residuals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Item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>
              <w:t>Treatment</w:t>
            </w:r>
          </w:p>
        </w:tc>
      </w:tr>
      <w:tr>
        <w:tc>
          <w:tcPr>
            <w:tcW w:type="dxa" w:w="3360"/>
          </w:tcPr>
          <w:p>
            <w:r>
              <w:t>Exact provider pricing/quota plan</w:t>
            </w:r>
          </w:p>
        </w:tc>
        <w:tc>
          <w:tcPr>
            <w:tcW w:type="dxa" w:w="3360"/>
          </w:tcPr>
          <w:p>
            <w:r>
              <w:t>NOT VERIFIED HERE</w:t>
            </w:r>
          </w:p>
        </w:tc>
        <w:tc>
          <w:tcPr>
            <w:tcW w:type="dxa" w:w="3360"/>
          </w:tcPr>
          <w:p>
            <w:r>
              <w:t>Separate procurement/commercial research</w:t>
            </w:r>
          </w:p>
        </w:tc>
      </w:tr>
      <w:tr>
        <w:tc>
          <w:tcPr>
            <w:tcW w:type="dxa" w:w="3360"/>
          </w:tcPr>
          <w:p>
            <w:r>
              <w:t>Exact OAuth scopes per final deployment model</w:t>
            </w:r>
          </w:p>
        </w:tc>
        <w:tc>
          <w:tcPr>
            <w:tcW w:type="dxa" w:w="3360"/>
          </w:tcPr>
          <w:p>
            <w:r>
              <w:t>PARTIAL</w:t>
            </w:r>
          </w:p>
        </w:tc>
        <w:tc>
          <w:tcPr>
            <w:tcW w:type="dxa" w:w="3360"/>
          </w:tcPr>
          <w:p>
            <w:r>
              <w:t>Provider implementation gate</w:t>
            </w:r>
          </w:p>
        </w:tc>
      </w:tr>
      <w:tr>
        <w:tc>
          <w:tcPr>
            <w:tcW w:type="dxa" w:w="3360"/>
          </w:tcPr>
          <w:p>
            <w:r>
              <w:t>Google Workspace event notification exact implementation</w:t>
            </w:r>
          </w:p>
        </w:tc>
        <w:tc>
          <w:tcPr>
            <w:tcW w:type="dxa" w:w="3360"/>
          </w:tcPr>
          <w:p>
            <w:r>
              <w:t>NOT VERIFIED HERE</w:t>
            </w:r>
          </w:p>
        </w:tc>
        <w:tc>
          <w:tcPr>
            <w:tcW w:type="dxa" w:w="3360"/>
          </w:tcPr>
          <w:p>
            <w:r>
              <w:t>Integration design gate</w:t>
            </w:r>
          </w:p>
        </w:tc>
      </w:tr>
      <w:tr>
        <w:tc>
          <w:tcPr>
            <w:tcW w:type="dxa" w:w="3360"/>
          </w:tcPr>
          <w:p>
            <w:r>
              <w:t>Provider-specific retention/recording policy</w:t>
            </w:r>
          </w:p>
        </w:tc>
        <w:tc>
          <w:tcPr>
            <w:tcW w:type="dxa" w:w="3360"/>
          </w:tcPr>
          <w:p>
            <w:r>
              <w:t>PARTIAL</w:t>
            </w:r>
          </w:p>
        </w:tc>
        <w:tc>
          <w:tcPr>
            <w:tcW w:type="dxa" w:w="3360"/>
          </w:tcPr>
          <w:p>
            <w:r>
              <w:t>Media policy gate</w:t>
            </w:r>
          </w:p>
        </w:tc>
      </w:tr>
      <w:tr>
        <w:tc>
          <w:tcPr>
            <w:tcW w:type="dxa" w:w="3360"/>
          </w:tcPr>
          <w:p>
            <w:r>
              <w:t>Automatic provider failover</w:t>
            </w:r>
          </w:p>
        </w:tc>
        <w:tc>
          <w:tcPr>
            <w:tcW w:type="dxa" w:w="3360"/>
          </w:tcPr>
          <w:p>
            <w:r>
              <w:t>DEFERRED</w:t>
            </w:r>
          </w:p>
        </w:tc>
        <w:tc>
          <w:tcPr>
            <w:tcW w:type="dxa" w:w="3360"/>
          </w:tcPr>
          <w:p>
            <w:r>
              <w:t>AEP4-OD-08</w:t>
            </w:r>
          </w:p>
        </w:tc>
      </w:tr>
      <w:tr>
        <w:tc>
          <w:tcPr>
            <w:tcW w:type="dxa" w:w="3360"/>
          </w:tcPr>
          <w:p>
            <w:r>
              <w:t>Vendor selection / default provider</w:t>
            </w:r>
          </w:p>
        </w:tc>
        <w:tc>
          <w:tcPr>
            <w:tcW w:type="dxa" w:w="3360"/>
          </w:tcPr>
          <w:p>
            <w:r>
              <w:t>NOT DECIDED</w:t>
            </w:r>
          </w:p>
        </w:tc>
        <w:tc>
          <w:tcPr>
            <w:tcW w:type="dxa" w:w="3360"/>
          </w:tcPr>
          <w:p>
            <w:r>
              <w:t>Do not infer from capability score</w:t>
            </w:r>
          </w:p>
        </w:tc>
      </w:tr>
      <w:tr>
        <w:tc>
          <w:tcPr>
            <w:tcW w:type="dxa" w:w="3360"/>
          </w:tcPr>
          <w:p>
            <w:r>
              <w:t>Production provider activation</w:t>
            </w:r>
          </w:p>
        </w:tc>
        <w:tc>
          <w:tcPr>
            <w:tcW w:type="dxa" w:w="3360"/>
          </w:tcPr>
          <w:p>
            <w:r>
              <w:t>NOT AUTHORIZED</w:t>
            </w:r>
          </w:p>
        </w:tc>
        <w:tc>
          <w:tcPr>
            <w:tcW w:type="dxa" w:w="3360"/>
          </w:tcPr>
          <w:p>
            <w:r>
              <w:t>Separate execution gate</w:t>
            </w:r>
          </w:p>
        </w:tc>
      </w:tr>
    </w:tbl>
    <w:p>
      <w:pPr>
        <w:pStyle w:val="Heading1"/>
      </w:pPr>
      <w:r>
        <w:t>10. Lead Recommendation</w:t>
      </w:r>
    </w:p>
    <w:p>
      <w:r>
        <w:t>For architecture, retain all five providers behind one Provider Adapter boundary. Daily and LiveKit are the strongest fit for programmable embedded INTERACTIVE sessions; Zoom and Google Meet remain strong external-provider options; YouTube Live is best treated as BROADCAST/streaming-oriented and should not be forced into the same interactive semantics.</w:t>
      </w:r>
    </w:p>
    <w:p>
      <w:r>
        <w:t>This is a capability recommendation, not a vendor selection decision. The project may later choose one or more providers per Session type or commercial plan without changing the canonical Session model.</w:t>
      </w:r>
    </w:p>
    <w:p>
      <w:pPr>
        <w:pStyle w:val="Heading1"/>
      </w:pPr>
      <w:r>
        <w:t>11. Governance / Gate Result</w:t>
      </w:r>
    </w:p>
    <w:p>
      <w:r>
        <w:t>TECH-16 = PASS. Provider capability evidence is sufficient to keep the provider-neutral Adapter architecture. No new architecture decision is required. Provider selection, exact credentials/scopes, pricing, quotas, retention and failover remain separate gates.</w:t>
      </w:r>
    </w:p>
    <w:p>
      <w:pPr>
        <w:pStyle w:val="Heading1"/>
      </w:pPr>
      <w:r>
        <w:t>12. Next Step — TECH-17</w:t>
      </w:r>
    </w:p>
    <w:p>
      <w:r>
        <w:t>TECH-17 — Session Technical Residual Closure &amp; Execution Readiness. Reconcile the remaining AEP4 technical residuals (Event relationship, attendance/capacity/visibility/recording policy and artifact access behavior) against the approved TECH-08/09/13 model, then produce the consolidated Technical Execution Authorization Package. The package must preserve MADCR-049, MADCR-053 and MADCR-054 as governing and must not reopen them.</w:t>
      </w:r>
    </w:p>
    <w:p>
      <w:pPr>
        <w:pStyle w:val="Heading1"/>
      </w:pPr>
      <w:r>
        <w:t>13. Source Integrity</w:t>
      </w:r>
    </w:p>
    <w:p>
      <w:r>
        <w:t>Provider capability facts in this artifact are web-verified from official provider documentation as of the review date. Project architecture rules are source-derived from the uploaded AEP4/technical artifacts. No provider was selected or declared default solely from this capability review.</w:t>
      </w:r>
    </w:p>
    <w:p>
      <w:pPr>
        <w:pStyle w:val="Heading1"/>
      </w:pPr>
      <w:r>
        <w:t>14. Traceability</w:t>
      </w:r>
    </w:p>
    <w:p>
      <w:pPr>
        <w:pStyle w:val="ListBullet"/>
      </w:pPr>
      <w:r>
        <w:t>RUMAHAGEN-AEP4-REVIEW-CONTINUITY-AND-CORRECTED-CURRENT-STATE-v1.0.</w:t>
      </w:r>
    </w:p>
    <w:p>
      <w:pPr>
        <w:pStyle w:val="ListBullet"/>
      </w:pPr>
      <w:r>
        <w:t>RUMAHAGEN-AEP4-STEP-10-RBAC-PERMISSION-IMPACT-v1.0.</w:t>
      </w:r>
    </w:p>
    <w:p>
      <w:pPr>
        <w:pStyle w:val="ListBullet"/>
      </w:pPr>
      <w:r>
        <w:t>RUMAHAGEN-AEP4-STEP-15-CROSS-DOCUMENT-RECONCILIATION-v1.0.</w:t>
      </w:r>
    </w:p>
    <w:p>
      <w:pPr>
        <w:pStyle w:val="ListBullet"/>
      </w:pPr>
      <w:r>
        <w:t>RUMAHAGEN-MADCR-054-FORMAL-DECISION-CLOSURE-v1.0.</w:t>
      </w:r>
    </w:p>
    <w:p>
      <w:pPr>
        <w:pStyle w:val="ListBullet"/>
      </w:pPr>
      <w:r>
        <w:t>RUMAHAGEN-MADCR-049-FORMAL-DECISION-CLOSURE-v1.0.</w:t>
      </w:r>
    </w:p>
    <w:p>
      <w:pPr>
        <w:pStyle w:val="ListBullet"/>
      </w:pPr>
      <w:r>
        <w:t>TECH-08 / TECH-09 / TECH-13 / TECH-14 / TECH-15.</w:t>
      </w:r>
    </w:p>
    <w:p>
      <w:pPr>
        <w:pStyle w:val="ListBullet"/>
      </w:pPr>
      <w:r>
        <w:t>Official Daily, LiveKit, Zoom, Google Meet and YouTube Live documentation cited in Section 4.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