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TECH-16-R1</w:t>
      </w:r>
    </w:p>
    <w:p>
      <w:pPr>
        <w:jc w:val="center"/>
      </w:pPr>
      <w:r>
        <w:rPr>
          <w:i/>
        </w:rPr>
        <w:t>Corrected Provider Capability Verification — Learning Session</w:t>
      </w:r>
    </w:p>
    <w:p>
      <w:r>
        <w:rPr>
          <w:b/>
        </w:rPr>
        <w:t xml:space="preserve">Status: </w:t>
      </w:r>
      <w:r>
        <w:t>PASS — PROVIDER-NEUTRAL ADAPTER DESIGN VALIDATED; GOVERNANCE REFERENCE CORRECTED</w:t>
      </w:r>
    </w:p>
    <w:p>
      <w:pPr>
        <w:pStyle w:val="Heading1"/>
      </w:pPr>
      <w:r>
        <w:t>1. Correction Notice</w:t>
      </w:r>
    </w:p>
    <w:p>
      <w:r>
        <w:t>TECH-16 v1.0 remains technically valid, but its governance continuity statement is corrected by TECH-15-R1. Provider capability verification does not depend on MADCR-053 being open/blocked. MADCR-053 and MADCR-054 are now treated as approved governing decisions, while exact physical permission IDs remain downstream implementation detail.</w:t>
      </w:r>
    </w:p>
    <w:p>
      <w:r>
        <w:t>No provider capability conclusion is reversed by this correction. No vendor is selected or made default by TECH-16-R1.</w:t>
      </w:r>
    </w:p>
    <w:p>
      <w:pPr>
        <w:pStyle w:val="Heading1"/>
      </w:pPr>
      <w:r>
        <w:t>2. Governing Architecture Inputs</w:t>
      </w:r>
    </w:p>
    <w:p>
      <w:pPr>
        <w:pStyle w:val="ListBullet"/>
      </w:pPr>
      <w:r>
        <w:t>MADCR-053: Capability + Permission + Scope; Role is actor grouping; exact permission IDs remain downstream.</w:t>
      </w:r>
    </w:p>
    <w:p>
      <w:pPr>
        <w:pStyle w:val="ListBullet"/>
      </w:pPr>
      <w:r>
        <w:t>MADCR-054: Host and Instructor are separate capabilities; Instructor does not imply Host.</w:t>
      </w:r>
    </w:p>
    <w:p>
      <w:pPr>
        <w:pStyle w:val="ListBullet"/>
      </w:pPr>
      <w:r>
        <w:t>AEP4 provider boundary: Provider is infrastructure; provider-specific logic remains behind Provider Adapter.</w:t>
      </w:r>
    </w:p>
    <w:p>
      <w:pPr>
        <w:pStyle w:val="ListBullet"/>
      </w:pPr>
      <w:r>
        <w:t>Authentication → eligibility/context → authorization → provider access remains the access chain.</w:t>
      </w:r>
    </w:p>
    <w:p>
      <w:pPr>
        <w:pStyle w:val="ListBullet"/>
      </w:pPr>
      <w:r>
        <w:t>Provider events are evidence and must be validated, normalized, correlated and idempotently processed.</w:t>
      </w:r>
    </w:p>
    <w:p>
      <w:pPr>
        <w:pStyle w:val="ListBullet"/>
      </w:pPr>
      <w:r>
        <w:t>Provider switching preserves canonical Learning Session identity/history.</w:t>
      </w:r>
    </w:p>
    <w:p>
      <w:pPr>
        <w:pStyle w:val="Heading1"/>
      </w:pPr>
      <w:r>
        <w:t>3. Capability Verification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Provider</w:t>
            </w:r>
          </w:p>
        </w:tc>
        <w:tc>
          <w:tcPr>
            <w:tcW w:type="dxa" w:w="1680"/>
            <w:shd w:fill="D9EAF7"/>
          </w:tcPr>
          <w:p>
            <w:r>
              <w:t>INTERACTIVE</w:t>
            </w:r>
          </w:p>
        </w:tc>
        <w:tc>
          <w:tcPr>
            <w:tcW w:type="dxa" w:w="1680"/>
            <w:shd w:fill="D9EAF7"/>
          </w:tcPr>
          <w:p>
            <w:r>
              <w:t>BROADCAST</w:t>
            </w:r>
          </w:p>
        </w:tc>
        <w:tc>
          <w:tcPr>
            <w:tcW w:type="dxa" w:w="1680"/>
            <w:shd w:fill="D9EAF7"/>
          </w:tcPr>
          <w:p>
            <w:r>
              <w:t>ON_DEMAND / Recording</w:t>
            </w:r>
          </w:p>
        </w:tc>
        <w:tc>
          <w:tcPr>
            <w:tcW w:type="dxa" w:w="1680"/>
            <w:shd w:fill="D9EAF7"/>
          </w:tcPr>
          <w:p>
            <w:r>
              <w:t>Evidence fit</w:t>
            </w:r>
          </w:p>
        </w:tc>
        <w:tc>
          <w:tcPr>
            <w:tcW w:type="dxa" w:w="1680"/>
            <w:shd w:fill="D9EAF7"/>
          </w:tcPr>
          <w:p>
            <w:r>
              <w:t>Role</w:t>
            </w:r>
          </w:p>
        </w:tc>
      </w:tr>
      <w:tr>
        <w:tc>
          <w:tcPr>
            <w:tcW w:type="dxa" w:w="1680"/>
          </w:tcPr>
          <w:p>
            <w:r>
              <w:t>Daily</w:t>
            </w:r>
          </w:p>
        </w:tc>
        <w:tc>
          <w:tcPr>
            <w:tcW w:type="dxa" w:w="1680"/>
          </w:tcPr>
          <w:p>
            <w:r>
              <w:t>EXCELLENT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STRONG</w:t>
            </w:r>
          </w:p>
        </w:tc>
        <w:tc>
          <w:tcPr>
            <w:tcW w:type="dxa" w:w="1680"/>
          </w:tcPr>
          <w:p>
            <w:r>
              <w:t>Embedded/custom interactive</w:t>
            </w:r>
          </w:p>
        </w:tc>
      </w:tr>
      <w:tr>
        <w:tc>
          <w:tcPr>
            <w:tcW w:type="dxa" w:w="1680"/>
          </w:tcPr>
          <w:p>
            <w:r>
              <w:t>LiveKit</w:t>
            </w:r>
          </w:p>
        </w:tc>
        <w:tc>
          <w:tcPr>
            <w:tcW w:type="dxa" w:w="1680"/>
          </w:tcPr>
          <w:p>
            <w:r>
              <w:t>EXCELLENT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VERY STRONG</w:t>
            </w:r>
          </w:p>
        </w:tc>
        <w:tc>
          <w:tcPr>
            <w:tcW w:type="dxa" w:w="1680"/>
          </w:tcPr>
          <w:p>
            <w:r>
              <w:t>Programmable interactive</w:t>
            </w:r>
          </w:p>
        </w:tc>
      </w:tr>
      <w:tr>
        <w:tc>
          <w:tcPr>
            <w:tcW w:type="dxa" w:w="1680"/>
          </w:tcPr>
          <w:p>
            <w:r>
              <w:t>Zoom</w:t>
            </w:r>
          </w:p>
        </w:tc>
        <w:tc>
          <w:tcPr>
            <w:tcW w:type="dxa" w:w="1680"/>
          </w:tcPr>
          <w:p>
            <w:r>
              <w:t>EXCELLENT</w:t>
            </w:r>
          </w:p>
        </w:tc>
        <w:tc>
          <w:tcPr>
            <w:tcW w:type="dxa" w:w="1680"/>
          </w:tcPr>
          <w:p>
            <w:r>
              <w:t>GOOD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STRONG</w:t>
            </w:r>
          </w:p>
        </w:tc>
        <w:tc>
          <w:tcPr>
            <w:tcW w:type="dxa" w:w="1680"/>
          </w:tcPr>
          <w:p>
            <w:r>
              <w:t>Meeting/Webinar provider</w:t>
            </w:r>
          </w:p>
        </w:tc>
      </w:tr>
      <w:tr>
        <w:tc>
          <w:tcPr>
            <w:tcW w:type="dxa" w:w="1680"/>
          </w:tcPr>
          <w:p>
            <w:r>
              <w:t>Google Meet</w:t>
            </w:r>
          </w:p>
        </w:tc>
        <w:tc>
          <w:tcPr>
            <w:tcW w:type="dxa" w:w="1680"/>
          </w:tcPr>
          <w:p>
            <w:r>
              <w:t>GOOD</w:t>
            </w:r>
          </w:p>
        </w:tc>
        <w:tc>
          <w:tcPr>
            <w:tcW w:type="dxa" w:w="1680"/>
          </w:tcPr>
          <w:p>
            <w:r>
              <w:t>GOOD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STRONG</w:t>
            </w:r>
          </w:p>
        </w:tc>
        <w:tc>
          <w:tcPr>
            <w:tcW w:type="dxa" w:w="1680"/>
          </w:tcPr>
          <w:p>
            <w:r>
              <w:t>Workspace-centered provider</w:t>
            </w:r>
          </w:p>
        </w:tc>
      </w:tr>
      <w:tr>
        <w:tc>
          <w:tcPr>
            <w:tcW w:type="dxa" w:w="1680"/>
          </w:tcPr>
          <w:p>
            <w:r>
              <w:t>YouTube Live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EXCELLENT</w:t>
            </w:r>
          </w:p>
        </w:tc>
        <w:tc>
          <w:tcPr>
            <w:tcW w:type="dxa" w:w="1680"/>
          </w:tcPr>
          <w:p>
            <w:r>
              <w:t>EXCELLENT</w:t>
            </w:r>
          </w:p>
        </w:tc>
        <w:tc>
          <w:tcPr>
            <w:tcW w:type="dxa" w:w="1680"/>
          </w:tcPr>
          <w:p>
            <w:r>
              <w:t>BROADCAST-ORIENTED</w:t>
            </w:r>
          </w:p>
        </w:tc>
        <w:tc>
          <w:tcPr>
            <w:tcW w:type="dxa" w:w="1680"/>
          </w:tcPr>
          <w:p>
            <w:r>
              <w:t>Broadcast/stream provider</w:t>
            </w:r>
          </w:p>
        </w:tc>
      </w:tr>
    </w:tbl>
    <w:p>
      <w:pPr>
        <w:pStyle w:val="Heading1"/>
      </w:pPr>
      <w:r>
        <w:t>4. Provider-Neutral Contract</w:t>
      </w:r>
    </w:p>
    <w:p>
      <w:pPr>
        <w:pStyle w:val="ListBullet"/>
      </w:pPr>
      <w:r>
        <w:t>createSession() → external provider reference + provider configuration</w:t>
      </w:r>
    </w:p>
    <w:p>
      <w:pPr>
        <w:pStyle w:val="ListBullet"/>
      </w:pPr>
      <w:r>
        <w:t>getSessionStatus() → normalized lifecycle</w:t>
      </w:r>
    </w:p>
    <w:p>
      <w:pPr>
        <w:pStyle w:val="ListBullet"/>
      </w:pPr>
      <w:r>
        <w:t>grantParticipantAccess() → short-lived provider access</w:t>
      </w:r>
    </w:p>
    <w:p>
      <w:pPr>
        <w:pStyle w:val="ListBullet"/>
      </w:pPr>
      <w:r>
        <w:t>revokeParticipantAccess() → provider-specific revocation where supported</w:t>
      </w:r>
    </w:p>
    <w:p>
      <w:pPr>
        <w:pStyle w:val="ListBullet"/>
      </w:pPr>
      <w:r>
        <w:t>receiveParticipationEvidence() → normalized participant/session evidence</w:t>
      </w:r>
    </w:p>
    <w:p>
      <w:pPr>
        <w:pStyle w:val="ListBullet"/>
      </w:pPr>
      <w:r>
        <w:t>startRecording()/stopRecording() → provider-specific recording control where supported</w:t>
      </w:r>
    </w:p>
    <w:p>
      <w:pPr>
        <w:pStyle w:val="ListBullet"/>
      </w:pPr>
      <w:r>
        <w:t>getRecordingArtifact() → provider/source reference</w:t>
      </w:r>
    </w:p>
    <w:p>
      <w:pPr>
        <w:pStyle w:val="ListBullet"/>
      </w:pPr>
      <w:r>
        <w:t>receiveWebhook() → validation + correlation + idempotency</w:t>
      </w:r>
    </w:p>
    <w:p>
      <w:pPr>
        <w:pStyle w:val="ListBullet"/>
      </w:pPr>
      <w:r>
        <w:t>endSession() → provider-specific end operation</w:t>
      </w:r>
    </w:p>
    <w:p>
      <w:pPr>
        <w:pStyle w:val="Heading1"/>
      </w:pPr>
      <w:r>
        <w:t>5. Correct Authorization Boundary</w:t>
      </w:r>
    </w:p>
    <w:p>
      <w:r>
        <w:t>Provider capability does not create authorization. Provider credentials/tokens are infrastructure-controlled. A provider external session ID is not proof that an actor may access or manage the Session. RUMAHAGEN must resolve authorization first using the approved Capability + Permission + Scope model and MADCR-054 Host/Instructor separation, then issue provider access.</w:t>
      </w:r>
    </w:p>
    <w:p>
      <w:pPr>
        <w:pStyle w:val="Heading1"/>
      </w:pPr>
      <w:r>
        <w:t>6.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360"/>
          </w:tcPr>
          <w:p>
            <w:r>
              <w:t>Exact provider OAuth scopes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Provider implementation gate.</w:t>
            </w:r>
          </w:p>
        </w:tc>
      </w:tr>
      <w:tr>
        <w:tc>
          <w:tcPr>
            <w:tcW w:type="dxa" w:w="3360"/>
          </w:tcPr>
          <w:p>
            <w:r>
              <w:t>Provider quotas/pricing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Commercial/procurement research.</w:t>
            </w:r>
          </w:p>
        </w:tc>
      </w:tr>
      <w:tr>
        <w:tc>
          <w:tcPr>
            <w:tcW w:type="dxa" w:w="3360"/>
          </w:tcPr>
          <w:p>
            <w:r>
              <w:t>Google Meet event notification implementation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Integration design gate.</w:t>
            </w:r>
          </w:p>
        </w:tc>
      </w:tr>
      <w:tr>
        <w:tc>
          <w:tcPr>
            <w:tcW w:type="dxa" w:w="3360"/>
          </w:tcPr>
          <w:p>
            <w:r>
              <w:t>Recording retention/privacy/replay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Media policy gate.</w:t>
            </w:r>
          </w:p>
        </w:tc>
      </w:tr>
      <w:tr>
        <w:tc>
          <w:tcPr>
            <w:tcW w:type="dxa" w:w="3360"/>
          </w:tcPr>
          <w:p>
            <w:r>
              <w:t>Exact Session permission IDs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TECH-15-R1 downstream physical reconciliation.</w:t>
            </w:r>
          </w:p>
        </w:tc>
      </w:tr>
      <w:tr>
        <w:tc>
          <w:tcPr>
            <w:tcW w:type="dxa" w:w="3360"/>
          </w:tcPr>
          <w:p>
            <w:r>
              <w:t>Provider failover</w:t>
            </w:r>
          </w:p>
        </w:tc>
        <w:tc>
          <w:tcPr>
            <w:tcW w:type="dxa" w:w="3360"/>
          </w:tcPr>
          <w:p>
            <w:r>
              <w:t>DEFERRED</w:t>
            </w:r>
          </w:p>
        </w:tc>
        <w:tc>
          <w:tcPr>
            <w:tcW w:type="dxa" w:w="3360"/>
          </w:tcPr>
          <w:p>
            <w:r>
              <w:t>AEP4-OD-08.</w:t>
            </w:r>
          </w:p>
        </w:tc>
      </w:tr>
      <w:tr>
        <w:tc>
          <w:tcPr>
            <w:tcW w:type="dxa" w:w="3360"/>
          </w:tcPr>
          <w:p>
            <w:r>
              <w:t>Vendor selection/default</w:t>
            </w:r>
          </w:p>
        </w:tc>
        <w:tc>
          <w:tcPr>
            <w:tcW w:type="dxa" w:w="3360"/>
          </w:tcPr>
          <w:p>
            <w:r>
              <w:t>NOT DECIDED</w:t>
            </w:r>
          </w:p>
        </w:tc>
        <w:tc>
          <w:tcPr>
            <w:tcW w:type="dxa" w:w="3360"/>
          </w:tcPr>
          <w:p>
            <w:r>
              <w:t>Capability review must not imply selection.</w:t>
            </w:r>
          </w:p>
        </w:tc>
      </w:tr>
    </w:tbl>
    <w:p>
      <w:pPr>
        <w:pStyle w:val="Heading1"/>
      </w:pPr>
      <w:r>
        <w:t>7. Gate Result</w:t>
      </w:r>
    </w:p>
    <w:p>
      <w:r>
        <w:t>TECH-16-R1 = PASS. The correction changes only governance continuity references and the dependency interpretation. The provider-neutral Adapter architecture remains valid.</w:t>
      </w:r>
    </w:p>
    <w:p>
      <w:pPr>
        <w:pStyle w:val="Heading1"/>
      </w:pPr>
      <w:r>
        <w:t>8. Next Step</w:t>
      </w:r>
    </w:p>
    <w:p>
      <w:r>
        <w:t>Proceed to the remaining Session technical residual closure. Provider-specific implementation should remain behind the Adapter boundary and should not be finalized as a default vendor without a separate decision.</w:t>
      </w:r>
    </w:p>
    <w:p>
      <w:pPr>
        <w:pStyle w:val="Heading1"/>
      </w:pPr>
      <w:r>
        <w:t>9. Traceability</w:t>
      </w:r>
    </w:p>
    <w:p>
      <w:pPr>
        <w:pStyle w:val="ListBullet"/>
      </w:pPr>
      <w:r>
        <w:t>TECH-15-R1 — corrected authorization reconciliation.</w:t>
      </w:r>
    </w:p>
    <w:p>
      <w:pPr>
        <w:pStyle w:val="ListBullet"/>
      </w:pPr>
      <w:r>
        <w:t>MADCR-053 Formal Decision &amp; Closure v1.0.</w:t>
      </w:r>
    </w:p>
    <w:p>
      <w:pPr>
        <w:pStyle w:val="ListBullet"/>
      </w:pPr>
      <w:r>
        <w:t>MADCR-054 Formal Decision &amp; Closure v1.0.</w:t>
      </w:r>
    </w:p>
    <w:p>
      <w:pPr>
        <w:pStyle w:val="ListBullet"/>
      </w:pPr>
      <w:r>
        <w:t>AEP4 STEP-08 Provider Adapter Integration Contract.</w:t>
      </w:r>
    </w:p>
    <w:p>
      <w:pPr>
        <w:pStyle w:val="ListBullet"/>
      </w:pPr>
      <w:r>
        <w:t>TECH-13 / TECH-14.</w:t>
      </w:r>
    </w:p>
    <w:p>
      <w:pPr>
        <w:pStyle w:val="ListBullet"/>
      </w:pPr>
      <w:r>
        <w:t>Official provider capability evidence used in TECH-16 original review.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