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RUMAHAGEN — TECH-24</w:t>
      </w:r>
    </w:p>
    <w:p>
      <w:pPr>
        <w:jc w:val="center"/>
      </w:pPr>
      <w:r>
        <w:rPr>
          <w:i/>
        </w:rPr>
        <w:t>Session Assignment Migration &amp; RLS Candidate</w:t>
      </w:r>
    </w:p>
    <w:p>
      <w:r>
        <w:rPr>
          <w:b/>
        </w:rPr>
        <w:t xml:space="preserve">Status: </w:t>
      </w:r>
      <w:r>
        <w:t>PASS — STATIC CANDIDATE READY; RUNTIME / FINAL AUTHORIZATION STILL CONTROLLED</w:t>
      </w:r>
    </w:p>
    <w:p>
      <w:pPr>
        <w:pStyle w:val="Heading1"/>
      </w:pPr>
      <w:r>
        <w:t>1. Purpose</w:t>
      </w:r>
    </w:p>
    <w:p>
      <w:r>
        <w:t>TECH-24 converts the approved TECH-23 resource-level assignment design into an idempotent migration/RLS candidate and a static verification script. The candidate uses the source-verified canonical actor FK target users.id and follows the project UUID/TIMESTAMPTZ/auth.uid()/RLS conventions.</w:t>
      </w:r>
    </w:p>
    <w:p>
      <w:pPr>
        <w:pStyle w:val="Heading1"/>
      </w:pPr>
      <w:r>
        <w:t>2. Source Evidence That Closes TECH-23 Residual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Item</w:t>
            </w:r>
          </w:p>
        </w:tc>
        <w:tc>
          <w:tcPr>
            <w:tcW w:type="dxa" w:w="3360"/>
            <w:shd w:fill="D9EAF7"/>
          </w:tcPr>
          <w:p>
            <w:r>
              <w:t>Source result</w:t>
            </w:r>
          </w:p>
        </w:tc>
        <w:tc>
          <w:tcPr>
            <w:tcW w:type="dxa" w:w="3360"/>
            <w:shd w:fill="D9EAF7"/>
          </w:tcPr>
          <w:p>
            <w:r>
              <w:t>Effect</w:t>
            </w:r>
          </w:p>
        </w:tc>
      </w:tr>
      <w:tr>
        <w:tc>
          <w:tcPr>
            <w:tcW w:type="dxa" w:w="3360"/>
          </w:tcPr>
          <w:p>
            <w:r>
              <w:t>Actor identity FK</w:t>
            </w:r>
          </w:p>
        </w:tc>
        <w:tc>
          <w:tcPr>
            <w:tcW w:type="dxa" w:w="3360"/>
          </w:tcPr>
          <w:p>
            <w:r>
              <w:t>TECH-10 and TECH-12 candidate SQL use users.id; auth.uid() maps to users.id</w:t>
            </w:r>
          </w:p>
        </w:tc>
        <w:tc>
          <w:tcPr>
            <w:tcW w:type="dxa" w:w="3360"/>
          </w:tcPr>
          <w:p>
            <w:r>
              <w:t>CLOSED for candidate: actor_id → users.id</w:t>
            </w:r>
          </w:p>
        </w:tc>
      </w:tr>
      <w:tr>
        <w:tc>
          <w:tcPr>
            <w:tcW w:type="dxa" w:w="3360"/>
          </w:tcPr>
          <w:p>
            <w:r>
              <w:t>UUID convention</w:t>
            </w:r>
          </w:p>
        </w:tc>
        <w:tc>
          <w:tcPr>
            <w:tcW w:type="dxa" w:w="3360"/>
          </w:tcPr>
          <w:p>
            <w:r>
              <w:t>Existing Session/RBAC migration candidates use UUID + gen_random_uuid()</w:t>
            </w:r>
          </w:p>
        </w:tc>
        <w:tc>
          <w:tcPr>
            <w:tcW w:type="dxa" w:w="3360"/>
          </w:tcPr>
          <w:p>
            <w:r>
              <w:t>APPLIED</w:t>
            </w:r>
          </w:p>
        </w:tc>
      </w:tr>
      <w:tr>
        <w:tc>
          <w:tcPr>
            <w:tcW w:type="dxa" w:w="3360"/>
          </w:tcPr>
          <w:p>
            <w:r>
              <w:t>Audit timestamps</w:t>
            </w:r>
          </w:p>
        </w:tc>
        <w:tc>
          <w:tcPr>
            <w:tcW w:type="dxa" w:w="3360"/>
          </w:tcPr>
          <w:p>
            <w:r>
              <w:t>Existing candidates use created_at/updated_at TIMESTAMPTZ; assignment design requires audit provenance</w:t>
            </w:r>
          </w:p>
        </w:tc>
        <w:tc>
          <w:tcPr>
            <w:tcW w:type="dxa" w:w="3360"/>
          </w:tcPr>
          <w:p>
            <w:r>
              <w:t>APPLIED</w:t>
            </w:r>
          </w:p>
        </w:tc>
      </w:tr>
      <w:tr>
        <w:tc>
          <w:tcPr>
            <w:tcW w:type="dxa" w:w="3360"/>
          </w:tcPr>
          <w:p>
            <w:r>
              <w:t>RLS identity</w:t>
            </w:r>
          </w:p>
        </w:tc>
        <w:tc>
          <w:tcPr>
            <w:tcW w:type="dxa" w:w="3360"/>
          </w:tcPr>
          <w:p>
            <w:r>
              <w:t>Source confirms auth.uid() and authenticated policies</w:t>
            </w:r>
          </w:p>
        </w:tc>
        <w:tc>
          <w:tcPr>
            <w:tcW w:type="dxa" w:w="3360"/>
          </w:tcPr>
          <w:p>
            <w:r>
              <w:t>APPLIED</w:t>
            </w:r>
          </w:p>
        </w:tc>
      </w:tr>
      <w:tr>
        <w:tc>
          <w:tcPr>
            <w:tcW w:type="dxa" w:w="3360"/>
          </w:tcPr>
          <w:p>
            <w:r>
              <w:t>Organization membership</w:t>
            </w:r>
          </w:p>
        </w:tc>
        <w:tc>
          <w:tcPr>
            <w:tcW w:type="dxa" w:w="3360"/>
          </w:tcPr>
          <w:p>
            <w:r>
              <w:t>organization_members.agent_id + active status</w:t>
            </w:r>
          </w:p>
        </w:tc>
        <w:tc>
          <w:tcPr>
            <w:tcW w:type="dxa" w:w="3360"/>
          </w:tcPr>
          <w:p>
            <w:r>
              <w:t>Retained as Session-domain second-layer check; not used as Host/Instructor assignment</w:t>
            </w:r>
          </w:p>
        </w:tc>
      </w:tr>
      <w:tr>
        <w:tc>
          <w:tcPr>
            <w:tcW w:type="dxa" w:w="3360"/>
          </w:tcPr>
          <w:p>
            <w:r>
              <w:t>Host/Instructor max</w:t>
            </w:r>
          </w:p>
        </w:tc>
        <w:tc>
          <w:tcPr>
            <w:tcW w:type="dxa" w:w="3360"/>
          </w:tcPr>
          <w:p>
            <w:r>
              <w:t>No source-backed maximum found</w:t>
            </w:r>
          </w:p>
        </w:tc>
        <w:tc>
          <w:tcPr>
            <w:tcW w:type="dxa" w:w="3360"/>
          </w:tcPr>
          <w:p>
            <w:r>
              <w:t>Keep 0..N</w:t>
            </w:r>
          </w:p>
        </w:tc>
      </w:tr>
    </w:tbl>
    <w:p>
      <w:pPr>
        <w:pStyle w:val="Heading1"/>
      </w:pPr>
      <w:r>
        <w:t>3. Physical Delta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Object</w:t>
            </w:r>
          </w:p>
        </w:tc>
        <w:tc>
          <w:tcPr>
            <w:tcW w:type="dxa" w:w="5040"/>
            <w:shd w:fill="D9EAF7"/>
          </w:tcPr>
          <w:p>
            <w:r>
              <w:t>Candidate</w:t>
            </w:r>
          </w:p>
        </w:tc>
      </w:tr>
      <w:tr>
        <w:tc>
          <w:tcPr>
            <w:tcW w:type="dxa" w:w="5040"/>
          </w:tcPr>
          <w:p>
            <w:r>
              <w:t>Table</w:t>
            </w:r>
          </w:p>
        </w:tc>
        <w:tc>
          <w:tcPr>
            <w:tcW w:type="dxa" w:w="5040"/>
          </w:tcPr>
          <w:p>
            <w:r>
              <w:t>learning_session_assignments</w:t>
            </w:r>
          </w:p>
        </w:tc>
      </w:tr>
      <w:tr>
        <w:tc>
          <w:tcPr>
            <w:tcW w:type="dxa" w:w="5040"/>
          </w:tcPr>
          <w:p>
            <w:r>
              <w:t>session_id</w:t>
            </w:r>
          </w:p>
        </w:tc>
        <w:tc>
          <w:tcPr>
            <w:tcW w:type="dxa" w:w="5040"/>
          </w:tcPr>
          <w:p>
            <w:r>
              <w:t>UUID NOT NULL → learning_sessions.id</w:t>
            </w:r>
          </w:p>
        </w:tc>
      </w:tr>
      <w:tr>
        <w:tc>
          <w:tcPr>
            <w:tcW w:type="dxa" w:w="5040"/>
          </w:tcPr>
          <w:p>
            <w:r>
              <w:t>actor_id</w:t>
            </w:r>
          </w:p>
        </w:tc>
        <w:tc>
          <w:tcPr>
            <w:tcW w:type="dxa" w:w="5040"/>
          </w:tcPr>
          <w:p>
            <w:r>
              <w:t>UUID NOT NULL → users.id</w:t>
            </w:r>
          </w:p>
        </w:tc>
      </w:tr>
      <w:tr>
        <w:tc>
          <w:tcPr>
            <w:tcW w:type="dxa" w:w="5040"/>
          </w:tcPr>
          <w:p>
            <w:r>
              <w:t>capability</w:t>
            </w:r>
          </w:p>
        </w:tc>
        <w:tc>
          <w:tcPr>
            <w:tcW w:type="dxa" w:w="5040"/>
          </w:tcPr>
          <w:p>
            <w:r>
              <w:t>HOST | INSTRUCTOR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 | REVOKED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created_at / created_by / revoked_at / revoked_by</w:t>
            </w:r>
          </w:p>
        </w:tc>
      </w:tr>
      <w:tr>
        <w:tc>
          <w:tcPr>
            <w:tcW w:type="dxa" w:w="5040"/>
          </w:tcPr>
          <w:p>
            <w:r>
              <w:t>Active uniqueness</w:t>
            </w:r>
          </w:p>
        </w:tc>
        <w:tc>
          <w:tcPr>
            <w:tcW w:type="dxa" w:w="5040"/>
          </w:tcPr>
          <w:p>
            <w:r>
              <w:t>(session_id, actor_id, capability) unique while ACTIVE</w:t>
            </w:r>
          </w:p>
        </w:tc>
      </w:tr>
      <w:tr>
        <w:tc>
          <w:tcPr>
            <w:tcW w:type="dxa" w:w="5040"/>
          </w:tcPr>
          <w:p>
            <w:r>
              <w:t>Indexes</w:t>
            </w:r>
          </w:p>
        </w:tc>
        <w:tc>
          <w:tcPr>
            <w:tcW w:type="dxa" w:w="5040"/>
          </w:tcPr>
          <w:p>
            <w:r>
              <w:t>session, actor, active capability</w:t>
            </w:r>
          </w:p>
        </w:tc>
      </w:tr>
      <w:tr>
        <w:tc>
          <w:tcPr>
            <w:tcW w:type="dxa" w:w="5040"/>
          </w:tcPr>
          <w:p>
            <w:r>
              <w:t>RLS</w:t>
            </w:r>
          </w:p>
        </w:tc>
        <w:tc>
          <w:tcPr>
            <w:tcW w:type="dxa" w:w="5040"/>
          </w:tcPr>
          <w:p>
            <w:r>
              <w:t>Enabled; conservative SELECT policy; mutation intentionally deferred to final permission path</w:t>
            </w:r>
          </w:p>
        </w:tc>
      </w:tr>
    </w:tbl>
    <w:p>
      <w:pPr>
        <w:pStyle w:val="Heading1"/>
      </w:pPr>
      <w:r>
        <w:t>4. Why Mutation RLS Is Intentionally Not Seeded Yet</w:t>
      </w:r>
    </w:p>
    <w:p>
      <w:r>
        <w:t>The source chain contains a historical TECH-15 artifact that treated Session permission IDs as blocked while MADCR-053 was still open. Later project continuity records approved the Capability + Permission + Scope taxonomy and the user subsequently approved the M04 namespace direction, but the physical permission/role seeding remains a controlled implementation gate. Therefore this migration does not manufacture a mutation policy that would bypass the final permission path.</w:t>
      </w:r>
    </w:p>
    <w:p>
      <w:r>
        <w:t>This is deliberately conservative: a user can be authenticated and still have no right to mutate an assignment merely because they can see the assignment row.</w:t>
      </w:r>
    </w:p>
    <w:p>
      <w:pPr>
        <w:pStyle w:val="Heading1"/>
      </w:pPr>
      <w:r>
        <w:t>5. RLS Candidate</w:t>
      </w:r>
    </w:p>
    <w:p>
      <w:pPr>
        <w:pStyle w:val="ListBullet"/>
      </w:pPr>
      <w:r>
        <w:t>RLS is enabled on learning_session_assignments.</w:t>
      </w:r>
    </w:p>
    <w:p>
      <w:pPr>
        <w:pStyle w:val="ListBullet"/>
      </w:pPr>
      <w:r>
        <w:t>SELECT is limited to the assigned actor or the owner of the target Session.</w:t>
      </w:r>
    </w:p>
    <w:p>
      <w:pPr>
        <w:pStyle w:val="ListBullet"/>
      </w:pPr>
      <w:r>
        <w:t>No generic authenticated INSERT/UPDATE/DELETE policy is created.</w:t>
      </w:r>
    </w:p>
    <w:p>
      <w:pPr>
        <w:pStyle w:val="ListBullet"/>
      </w:pPr>
      <w:r>
        <w:t>Final mutation authorization must combine platform permission + explicit Session capability + resource scope.</w:t>
      </w:r>
    </w:p>
    <w:p>
      <w:pPr>
        <w:pStyle w:val="ListBullet"/>
      </w:pPr>
      <w:r>
        <w:t>Revoked assignments do not satisfy capability checks.</w:t>
      </w:r>
    </w:p>
    <w:p>
      <w:pPr>
        <w:pStyle w:val="ListBullet"/>
      </w:pPr>
      <w:r>
        <w:t>Organization membership is not converted into Host/Instructor authority.</w:t>
      </w:r>
    </w:p>
    <w:p>
      <w:pPr>
        <w:pStyle w:val="ListBullet"/>
      </w:pPr>
      <w:r>
        <w:t>Client-supplied actor_id is not authorization proof.</w:t>
      </w:r>
    </w:p>
    <w:p>
      <w:pPr>
        <w:pStyle w:val="Heading1"/>
      </w:pPr>
      <w:r>
        <w:t>6. Integrity Rules</w:t>
      </w:r>
    </w:p>
    <w:p>
      <w:pPr>
        <w:pStyle w:val="ListBullet"/>
      </w:pPr>
      <w:r>
        <w:t>capability ∈ {HOST, INSTRUCTOR}.</w:t>
      </w:r>
    </w:p>
    <w:p>
      <w:pPr>
        <w:pStyle w:val="ListBullet"/>
      </w:pPr>
      <w:r>
        <w:t>status ∈ {ACTIVE, REVOKED}.</w:t>
      </w:r>
    </w:p>
    <w:p>
      <w:pPr>
        <w:pStyle w:val="ListBullet"/>
      </w:pPr>
      <w:r>
        <w:t>ACTIVE requires revoked_at IS NULL.</w:t>
      </w:r>
    </w:p>
    <w:p>
      <w:pPr>
        <w:pStyle w:val="ListBullet"/>
      </w:pPr>
      <w:r>
        <w:t>REVOKED requires revoked_at IS NOT NULL.</w:t>
      </w:r>
    </w:p>
    <w:p>
      <w:pPr>
        <w:pStyle w:val="ListBullet"/>
      </w:pPr>
      <w:r>
        <w:t>One active assignment per (session_id, actor_id, capability).</w:t>
      </w:r>
    </w:p>
    <w:p>
      <w:pPr>
        <w:pStyle w:val="ListBullet"/>
      </w:pPr>
      <w:r>
        <w:t>Same actor may hold HOST and INSTRUCTOR simultaneously on one Session.</w:t>
      </w:r>
    </w:p>
    <w:p>
      <w:pPr>
        <w:pStyle w:val="ListBullet"/>
      </w:pPr>
      <w:r>
        <w:t>Session assignment references an existing Session.</w:t>
      </w:r>
    </w:p>
    <w:p>
      <w:pPr>
        <w:pStyle w:val="ListBullet"/>
      </w:pPr>
      <w:r>
        <w:t>Actor references the canonical users identity table.</w:t>
      </w:r>
    </w:p>
    <w:p>
      <w:pPr>
        <w:pStyle w:val="ListBullet"/>
      </w:pPr>
      <w:r>
        <w:t>created_by/revoked_by are audit references; they do not themselves grant authority.</w:t>
      </w:r>
    </w:p>
    <w:p>
      <w:pPr>
        <w:pStyle w:val="Heading1"/>
      </w:pPr>
      <w:r>
        <w:t>7. Authorization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Test</w:t>
            </w:r>
          </w:p>
        </w:tc>
        <w:tc>
          <w:tcPr>
            <w:tcW w:type="dxa" w:w="5040"/>
            <w:shd w:fill="D9EAF7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Actor has active HOST + final Host permission</w:t>
            </w:r>
          </w:p>
        </w:tc>
        <w:tc>
          <w:tcPr>
            <w:tcW w:type="dxa" w:w="5040"/>
          </w:tcPr>
          <w:p>
            <w:r>
              <w:t>ALLOW Host operation subject to Session/resource scope</w:t>
            </w:r>
          </w:p>
        </w:tc>
      </w:tr>
      <w:tr>
        <w:tc>
          <w:tcPr>
            <w:tcW w:type="dxa" w:w="5040"/>
          </w:tcPr>
          <w:p>
            <w:r>
              <w:t>Actor has HOST but no Host permission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Actor has Instructor permission but no active INSTRUCTOR assignment</w:t>
            </w:r>
          </w:p>
        </w:tc>
        <w:tc>
          <w:tcPr>
            <w:tcW w:type="dxa" w:w="5040"/>
          </w:tcPr>
          <w:p>
            <w:r>
              <w:t>DENY for resource-scoped Instructor operation</w:t>
            </w:r>
          </w:p>
        </w:tc>
      </w:tr>
      <w:tr>
        <w:tc>
          <w:tcPr>
            <w:tcW w:type="dxa" w:w="5040"/>
          </w:tcPr>
          <w:p>
            <w:r>
              <w:t>Actor has INSTRUCTOR only → provider Host operation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Actor has HOST only → Instructor-only completion/attendance operation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Actor has both assignments</w:t>
            </w:r>
          </w:p>
        </w:tc>
        <w:tc>
          <w:tcPr>
            <w:tcW w:type="dxa" w:w="5040"/>
          </w:tcPr>
          <w:p>
            <w:r>
              <w:t>ALLOW according to the specific capability</w:t>
            </w:r>
          </w:p>
        </w:tc>
      </w:tr>
      <w:tr>
        <w:tc>
          <w:tcPr>
            <w:tcW w:type="dxa" w:w="5040"/>
          </w:tcPr>
          <w:p>
            <w:r>
              <w:t>Assignment revoked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Duplicate active same actor/capability/session</w:t>
            </w:r>
          </w:p>
        </w:tc>
        <w:tc>
          <w:tcPr>
            <w:tcW w:type="dxa" w:w="5040"/>
          </w:tcPr>
          <w:p>
            <w:r>
              <w:t>DB rejects</w:t>
            </w:r>
          </w:p>
        </w:tc>
      </w:tr>
      <w:tr>
        <w:tc>
          <w:tcPr>
            <w:tcW w:type="dxa" w:w="5040"/>
          </w:tcPr>
          <w:p>
            <w:r>
              <w:t>Organization member without assignment</w:t>
            </w:r>
          </w:p>
        </w:tc>
        <w:tc>
          <w:tcPr>
            <w:tcW w:type="dxa" w:w="5040"/>
          </w:tcPr>
          <w:p>
            <w:r>
              <w:t>DENY for Host/Instructor operation</w:t>
            </w:r>
          </w:p>
        </w:tc>
      </w:tr>
      <w:tr>
        <w:tc>
          <w:tcPr>
            <w:tcW w:type="dxa" w:w="5040"/>
          </w:tcPr>
          <w:p>
            <w:r>
              <w:t>Client supplies another actor_id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Learner attempts assignment mutation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Session owner without assignment attempts owner-level operation</w:t>
            </w:r>
          </w:p>
        </w:tc>
        <w:tc>
          <w:tcPr>
            <w:tcW w:type="dxa" w:w="5040"/>
          </w:tcPr>
          <w:p>
            <w:r>
              <w:t>Allowed only where the separate Session owner permission/policy allows; ownership does not automatically create Host/Instructor capability</w:t>
            </w:r>
          </w:p>
        </w:tc>
      </w:tr>
    </w:tbl>
    <w:p>
      <w:pPr>
        <w:pStyle w:val="Heading1"/>
      </w:pPr>
      <w:r>
        <w:t>8. TECH-12 Remediation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Finding</w:t>
            </w:r>
          </w:p>
        </w:tc>
        <w:tc>
          <w:tcPr>
            <w:tcW w:type="dxa" w:w="5040"/>
            <w:shd w:fill="D9EAF7"/>
          </w:tcPr>
          <w:p>
            <w:r>
              <w:t>TECH-24 treatment</w:t>
            </w:r>
          </w:p>
        </w:tc>
      </w:tr>
      <w:tr>
        <w:tc>
          <w:tcPr>
            <w:tcW w:type="dxa" w:w="5040"/>
          </w:tcPr>
          <w:p>
            <w:r>
              <w:t>T12-01 learner lifecycle self-update</w:t>
            </w:r>
          </w:p>
        </w:tc>
        <w:tc>
          <w:tcPr>
            <w:tcW w:type="dxa" w:w="5040"/>
          </w:tcPr>
          <w:p>
            <w:r>
              <w:t>No assignment mutation is exposed to generic learner RLS.</w:t>
            </w:r>
          </w:p>
        </w:tc>
      </w:tr>
      <w:tr>
        <w:tc>
          <w:tcPr>
            <w:tcW w:type="dxa" w:w="5040"/>
          </w:tcPr>
          <w:p>
            <w:r>
              <w:t>T12-02 organization membership bypass</w:t>
            </w:r>
          </w:p>
        </w:tc>
        <w:tc>
          <w:tcPr>
            <w:tcW w:type="dxa" w:w="5040"/>
          </w:tcPr>
          <w:p>
            <w:r>
              <w:t>Assignment does not infer authority from organization membership.</w:t>
            </w:r>
          </w:p>
        </w:tc>
      </w:tr>
      <w:tr>
        <w:tc>
          <w:tcPr>
            <w:tcW w:type="dxa" w:w="5040"/>
          </w:tcPr>
          <w:p>
            <w:r>
              <w:t>T12-03 provider binding uniqueness</w:t>
            </w:r>
          </w:p>
        </w:tc>
        <w:tc>
          <w:tcPr>
            <w:tcW w:type="dxa" w:w="5040"/>
          </w:tcPr>
          <w:p>
            <w:r>
              <w:t>Unchanged; provider binding invariant remains in Session migration candidate.</w:t>
            </w:r>
          </w:p>
        </w:tc>
      </w:tr>
      <w:tr>
        <w:tc>
          <w:tcPr>
            <w:tcW w:type="dxa" w:w="5040"/>
          </w:tcPr>
          <w:p>
            <w:r>
              <w:t>T12-04 non-idempotent SQL</w:t>
            </w:r>
          </w:p>
        </w:tc>
        <w:tc>
          <w:tcPr>
            <w:tcW w:type="dxa" w:w="5040"/>
          </w:tcPr>
          <w:p>
            <w:r>
              <w:t>CREATE TABLE/INDEX and policy replacement use controlled rerun pattern.</w:t>
            </w:r>
          </w:p>
        </w:tc>
      </w:tr>
      <w:tr>
        <w:tc>
          <w:tcPr>
            <w:tcW w:type="dxa" w:w="5040"/>
          </w:tcPr>
          <w:p>
            <w:r>
              <w:t>T12-05 PENDING uniqueness</w:t>
            </w:r>
          </w:p>
        </w:tc>
        <w:tc>
          <w:tcPr>
            <w:tcW w:type="dxa" w:w="5040"/>
          </w:tcPr>
          <w:p>
            <w:r>
              <w:t>Unchanged; enrollment policy remains separate.</w:t>
            </w:r>
          </w:p>
        </w:tc>
      </w:tr>
      <w:tr>
        <w:tc>
          <w:tcPr>
            <w:tcW w:type="dxa" w:w="5040"/>
          </w:tcPr>
          <w:p>
            <w:r>
              <w:t>T12-06 PARTNER relation</w:t>
            </w:r>
          </w:p>
        </w:tc>
        <w:tc>
          <w:tcPr>
            <w:tcW w:type="dxa" w:w="5040"/>
          </w:tcPr>
          <w:p>
            <w:r>
              <w:t>No Partner relation introduced.</w:t>
            </w:r>
          </w:p>
        </w:tc>
      </w:tr>
    </w:tbl>
    <w:p>
      <w:pPr>
        <w:pStyle w:val="Heading1"/>
      </w:pPr>
      <w:r>
        <w:t>9. Static Verification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Check</w:t>
            </w:r>
          </w:p>
        </w:tc>
        <w:tc>
          <w:tcPr>
            <w:tcW w:type="dxa" w:w="5040"/>
            <w:shd w:fill="D9EAF7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SQL file generated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BEGIN/COMMIT envelope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CREATE TABLE IF NOT EXISTS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Canonical actor FK users.id</w:t>
            </w:r>
          </w:p>
        </w:tc>
        <w:tc>
          <w:tcPr>
            <w:tcW w:type="dxa" w:w="5040"/>
          </w:tcPr>
          <w:p>
            <w:r>
              <w:t>PASS — source verified</w:t>
            </w:r>
          </w:p>
        </w:tc>
      </w:tr>
      <w:tr>
        <w:tc>
          <w:tcPr>
            <w:tcW w:type="dxa" w:w="5040"/>
          </w:tcPr>
          <w:p>
            <w:r>
              <w:t>HOST/INSTRUCTOR CHECK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ACTIVE/REVOKED CHECK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Active uniqueness index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Supporting indexes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RLS enabled statement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Policy idempotency via DROP POLICY IF EXISTS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Permission seeding</w:t>
            </w:r>
          </w:p>
        </w:tc>
        <w:tc>
          <w:tcPr>
            <w:tcW w:type="dxa" w:w="5040"/>
          </w:tcPr>
          <w:p>
            <w:r>
              <w:t>NOT INCLUDED — intentional</w:t>
            </w:r>
          </w:p>
        </w:tc>
      </w:tr>
      <w:tr>
        <w:tc>
          <w:tcPr>
            <w:tcW w:type="dxa" w:w="5040"/>
          </w:tcPr>
          <w:p>
            <w:r>
              <w:t>role_permissions seeding</w:t>
            </w:r>
          </w:p>
        </w:tc>
        <w:tc>
          <w:tcPr>
            <w:tcW w:type="dxa" w:w="5040"/>
          </w:tcPr>
          <w:p>
            <w:r>
              <w:t>NOT INCLUDED — intentional</w:t>
            </w:r>
          </w:p>
        </w:tc>
      </w:tr>
      <w:tr>
        <w:tc>
          <w:tcPr>
            <w:tcW w:type="dxa" w:w="5040"/>
          </w:tcPr>
          <w:p>
            <w:r>
              <w:t>Live PostgreSQL execution</w:t>
            </w:r>
          </w:p>
        </w:tc>
        <w:tc>
          <w:tcPr>
            <w:tcW w:type="dxa" w:w="5040"/>
          </w:tcPr>
          <w:p>
            <w:r>
              <w:t>NOT RUN — environment gate remains</w:t>
            </w:r>
          </w:p>
        </w:tc>
      </w:tr>
    </w:tbl>
    <w:p>
      <w:pPr>
        <w:pStyle w:val="Heading1"/>
      </w:pPr>
      <w:r>
        <w:t>10. Controlled Residuals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Residual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>
              <w:t>Next gate</w:t>
            </w:r>
          </w:p>
        </w:tc>
      </w:tr>
      <w:tr>
        <w:tc>
          <w:tcPr>
            <w:tcW w:type="dxa" w:w="3360"/>
          </w:tcPr>
          <w:p>
            <w:r>
              <w:t>Final Session permission IDs / role_permissions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Authorization seed/reconciliation gate</w:t>
            </w:r>
          </w:p>
        </w:tc>
      </w:tr>
      <w:tr>
        <w:tc>
          <w:tcPr>
            <w:tcW w:type="dxa" w:w="3360"/>
          </w:tcPr>
          <w:p>
            <w:r>
              <w:t>Assignment mutation authorization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Final permission + capability implementation</w:t>
            </w:r>
          </w:p>
        </w:tc>
      </w:tr>
      <w:tr>
        <w:tc>
          <w:tcPr>
            <w:tcW w:type="dxa" w:w="3360"/>
          </w:tcPr>
          <w:p>
            <w:r>
              <w:t>Live PostgreSQL execution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Staging environment</w:t>
            </w:r>
          </w:p>
        </w:tc>
      </w:tr>
      <w:tr>
        <w:tc>
          <w:tcPr>
            <w:tcW w:type="dxa" w:w="3360"/>
          </w:tcPr>
          <w:p>
            <w:r>
              <w:t>Exact assignment status lifecycle beyond ACTIVE/REVOKED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Implementation convention; no extra business states inferred</w:t>
            </w:r>
          </w:p>
        </w:tc>
      </w:tr>
      <w:tr>
        <w:tc>
          <w:tcPr>
            <w:tcW w:type="dxa" w:w="3360"/>
          </w:tcPr>
          <w:p>
            <w:r>
              <w:t>Maximum Hosts/Instructors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No source-backed maximum</w:t>
            </w:r>
          </w:p>
        </w:tc>
      </w:tr>
      <w:tr>
        <w:tc>
          <w:tcPr>
            <w:tcW w:type="dxa" w:w="3360"/>
          </w:tcPr>
          <w:p>
            <w:r>
              <w:t>Provider OAuth/webhook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Provider implementation</w:t>
            </w:r>
          </w:p>
        </w:tc>
      </w:tr>
      <w:tr>
        <w:tc>
          <w:tcPr>
            <w:tcW w:type="dxa" w:w="3360"/>
          </w:tcPr>
          <w:p>
            <w:r>
              <w:t>Attendance thresholds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BR/configuration</w:t>
            </w:r>
          </w:p>
        </w:tc>
      </w:tr>
    </w:tbl>
    <w:p>
      <w:pPr>
        <w:pStyle w:val="Heading1"/>
      </w:pPr>
      <w:r>
        <w:t>11. Gate Result</w:t>
      </w:r>
    </w:p>
    <w:p>
      <w:r>
        <w:t>TECH-24 = PASS. The canonical actor identity residual is closed for the candidate: actor_id references users.id, consistent with the existing Session migration contract and auth.uid() model. The resource-level assignment table, integrity constraints, indexes, conservative RLS read boundary and static verification are ready for controlled review. No production or staging execution has been performed.</w:t>
      </w:r>
    </w:p>
    <w:p>
      <w:pPr>
        <w:pStyle w:val="Heading1"/>
      </w:pPr>
      <w:r>
        <w:t>12. Important Boundary</w:t>
      </w:r>
    </w:p>
    <w:p>
      <w:r>
        <w:t>TECH-24 does not claim that the final Session permission rows or role_permissions rows have been seeded. It also does not promote the candidate to production execution authority. The AEP synchronization lock remains in force: technical project-wide baselines are not full-synchronized at this point, and every completed impact remains a separate artifact.</w:t>
      </w:r>
    </w:p>
    <w:p>
      <w:pPr>
        <w:pStyle w:val="Heading1"/>
      </w:pPr>
      <w:r>
        <w:t>13. Next Step — TECH-25</w:t>
      </w:r>
    </w:p>
    <w:p>
      <w:r>
        <w:t>TECH-25 should perform a second static reconciliation of the complete Session migration candidate (TECH-13 baseline + TECH-24 assignment delta), verify policy interactions across learning_sessions/session_enrollments/provider bindings/evidence/attendance/completion/artifacts/assignments, and produce one consolidated Session migration candidate for staging review. Only after that should runtime availability be revisited.</w:t>
      </w:r>
    </w:p>
    <w:p>
      <w:pPr>
        <w:pStyle w:val="Heading1"/>
      </w:pPr>
      <w:r>
        <w:t>14. User Open Decision</w:t>
      </w:r>
    </w:p>
    <w:p>
      <w:r>
        <w:t>No new user decision is required at TECH-24. The approved Option A has been implemented as the candidate resource-level assignment structure. Remaining items are implementation/runtime gates.</w:t>
      </w:r>
    </w:p>
    <w:p>
      <w:pPr>
        <w:pStyle w:val="Heading1"/>
      </w:pPr>
      <w:r>
        <w:t>15. Traceability</w:t>
      </w:r>
    </w:p>
    <w:p>
      <w:pPr>
        <w:pStyle w:val="ListBullet"/>
      </w:pPr>
      <w:r>
        <w:t>TECH-23 — Physical Session Assignment Schema &amp; RLS Specification.</w:t>
      </w:r>
    </w:p>
    <w:p>
      <w:pPr>
        <w:pStyle w:val="ListBullet"/>
      </w:pPr>
      <w:r>
        <w:t>TECH-22 — Resource-Level Session Authorization Evidence Gate.</w:t>
      </w:r>
    </w:p>
    <w:p>
      <w:pPr>
        <w:pStyle w:val="ListBullet"/>
      </w:pPr>
      <w:r>
        <w:t>TECH-21 — Session Permission Catalogue &amp; Role Mapping.</w:t>
      </w:r>
    </w:p>
    <w:p>
      <w:pPr>
        <w:pStyle w:val="ListBullet"/>
      </w:pPr>
      <w:r>
        <w:t>TECH-20 — approved M04 namespace direction.</w:t>
      </w:r>
    </w:p>
    <w:p>
      <w:pPr>
        <w:pStyle w:val="ListBullet"/>
      </w:pPr>
      <w:r>
        <w:t>TECH-13 — frozen Session migration candidate.</w:t>
      </w:r>
    </w:p>
    <w:p>
      <w:pPr>
        <w:pStyle w:val="ListBullet"/>
      </w:pPr>
      <w:r>
        <w:t>TECH-12 — remediation findings.</w:t>
      </w:r>
    </w:p>
    <w:p>
      <w:pPr>
        <w:pStyle w:val="ListBullet"/>
      </w:pPr>
      <w:r>
        <w:t>TECH-10 — physical Session contract and users.id actor convention.</w:t>
      </w:r>
    </w:p>
    <w:p>
      <w:pPr>
        <w:pStyle w:val="ListBullet"/>
      </w:pPr>
      <w:r>
        <w:t>TECH-14 — static/runtime verification gate and environment limitation.</w:t>
      </w:r>
    </w:p>
    <w:p>
      <w:pPr>
        <w:pStyle w:val="ListBullet"/>
      </w:pPr>
      <w:r>
        <w:t>MADCR-053 — Capability + Permission + Scope.</w:t>
      </w:r>
    </w:p>
    <w:p>
      <w:pPr>
        <w:pStyle w:val="ListBullet"/>
      </w:pPr>
      <w:r>
        <w:t>MADCR-054 — Host/Instructor separation.</w:t>
      </w:r>
    </w:p>
    <w:p>
      <w:pPr>
        <w:pStyle w:val="ListBullet"/>
      </w:pPr>
      <w:r>
        <w:t>AEP Synchronization Execution Lock — no full global sync before all AEPs.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