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RUMAHAGEN — TECH-25</w:t>
      </w:r>
    </w:p>
    <w:p>
      <w:pPr>
        <w:jc w:val="center"/>
      </w:pPr>
      <w:r>
        <w:rPr>
          <w:i/>
        </w:rPr>
        <w:t>Consolidated Session Migration Candidate &amp; Static Reconciliation</w:t>
      </w:r>
    </w:p>
    <w:p>
      <w:r>
        <w:rPr>
          <w:b/>
        </w:rPr>
        <w:t xml:space="preserve">Status: </w:t>
      </w:r>
      <w:r>
        <w:t>PASS WITH CONTROLLED AUTHORIZATION / RUNTIME RESIDUALS</w:t>
      </w:r>
    </w:p>
    <w:p>
      <w:pPr>
        <w:pStyle w:val="Heading1"/>
      </w:pPr>
      <w:r>
        <w:t>1. Purpose</w:t>
      </w:r>
    </w:p>
    <w:p>
      <w:r>
        <w:t>TECH-25 performs the second static reconciliation of the complete Session migration candidate by consolidating the frozen TECH-13 Session resource baseline with the approved TECH-23/24 resource-level Host/Instructor assignment delta. The objective is to verify that the combined schema, integrity rules, RLS boundaries and migration idempotency remain internally consistent before staging review.</w:t>
      </w:r>
    </w:p>
    <w:p>
      <w:pPr>
        <w:pStyle w:val="Heading1"/>
      </w:pPr>
      <w:r>
        <w:t>2. 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Source</w:t>
            </w:r>
          </w:p>
        </w:tc>
        <w:tc>
          <w:tcPr>
            <w:tcW w:type="dxa" w:w="5040"/>
            <w:shd w:fill="D9EAF7"/>
          </w:tcPr>
          <w:p>
            <w:r>
              <w:t>Role in TECH-25</w:t>
            </w:r>
          </w:p>
        </w:tc>
      </w:tr>
      <w:tr>
        <w:tc>
          <w:tcPr>
            <w:tcW w:type="dxa" w:w="5040"/>
          </w:tcPr>
          <w:p>
            <w:r>
              <w:t>TECH-13 Final Migration Candidate</w:t>
            </w:r>
          </w:p>
        </w:tc>
        <w:tc>
          <w:tcPr>
            <w:tcW w:type="dxa" w:w="5040"/>
          </w:tcPr>
          <w:p>
            <w:r>
              <w:t>Frozen Session core schema/RLS baseline</w:t>
            </w:r>
          </w:p>
        </w:tc>
      </w:tr>
      <w:tr>
        <w:tc>
          <w:tcPr>
            <w:tcW w:type="dxa" w:w="5040"/>
          </w:tcPr>
          <w:p>
            <w:r>
              <w:t>TECH-24 Assignment Migration &amp; RLS Candidate</w:t>
            </w:r>
          </w:p>
        </w:tc>
        <w:tc>
          <w:tcPr>
            <w:tcW w:type="dxa" w:w="5040"/>
          </w:tcPr>
          <w:p>
            <w:r>
              <w:t>Approved resource-level assignment delta</w:t>
            </w:r>
          </w:p>
        </w:tc>
      </w:tr>
      <w:tr>
        <w:tc>
          <w:tcPr>
            <w:tcW w:type="dxa" w:w="5040"/>
          </w:tcPr>
          <w:p>
            <w:r>
              <w:t>TECH-23 Physical Session Assignment Schema &amp; RLS Specification</w:t>
            </w:r>
          </w:p>
        </w:tc>
        <w:tc>
          <w:tcPr>
            <w:tcW w:type="dxa" w:w="5040"/>
          </w:tcPr>
          <w:p>
            <w:r>
              <w:t>0..N assignment model; HOST/INSTRUCTOR separation</w:t>
            </w:r>
          </w:p>
        </w:tc>
      </w:tr>
      <w:tr>
        <w:tc>
          <w:tcPr>
            <w:tcW w:type="dxa" w:w="5040"/>
          </w:tcPr>
          <w:p>
            <w:r>
              <w:t>TECH-21 Session Permission Catalogue &amp; Role Mapping</w:t>
            </w:r>
          </w:p>
        </w:tc>
        <w:tc>
          <w:tcPr>
            <w:tcW w:type="dxa" w:w="5040"/>
          </w:tcPr>
          <w:p>
            <w:r>
              <w:t>Approved M04 namespace candidate; no seeding yet</w:t>
            </w:r>
          </w:p>
        </w:tc>
      </w:tr>
      <w:tr>
        <w:tc>
          <w:tcPr>
            <w:tcW w:type="dxa" w:w="5040"/>
          </w:tcPr>
          <w:p>
            <w:r>
              <w:t>TECH-19-R1</w:t>
            </w:r>
          </w:p>
        </w:tc>
        <w:tc>
          <w:tcPr>
            <w:tcW w:type="dxa" w:w="5040"/>
          </w:tcPr>
          <w:p>
            <w:r>
              <w:t>Physical Session relationships and RLS boundary</w:t>
            </w:r>
          </w:p>
        </w:tc>
      </w:tr>
      <w:tr>
        <w:tc>
          <w:tcPr>
            <w:tcW w:type="dxa" w:w="5040"/>
          </w:tcPr>
          <w:p>
            <w:r>
              <w:t>TECH-12</w:t>
            </w:r>
          </w:p>
        </w:tc>
        <w:tc>
          <w:tcPr>
            <w:tcW w:type="dxa" w:w="5040"/>
          </w:tcPr>
          <w:p>
            <w:r>
              <w:t>Migration remediation findings</w:t>
            </w:r>
          </w:p>
        </w:tc>
      </w:tr>
      <w:tr>
        <w:tc>
          <w:tcPr>
            <w:tcW w:type="dxa" w:w="5040"/>
          </w:tcPr>
          <w:p>
            <w:r>
              <w:t>TECH-10</w:t>
            </w:r>
          </w:p>
        </w:tc>
        <w:tc>
          <w:tcPr>
            <w:tcW w:type="dxa" w:w="5040"/>
          </w:tcPr>
          <w:p>
            <w:r>
              <w:t>users.id actor identity and physical Session contract</w:t>
            </w:r>
          </w:p>
        </w:tc>
      </w:tr>
      <w:tr>
        <w:tc>
          <w:tcPr>
            <w:tcW w:type="dxa" w:w="5040"/>
          </w:tcPr>
          <w:p>
            <w:r>
              <w:t>MADCR-053</w:t>
            </w:r>
          </w:p>
        </w:tc>
        <w:tc>
          <w:tcPr>
            <w:tcW w:type="dxa" w:w="5040"/>
          </w:tcPr>
          <w:p>
            <w:r>
              <w:t>Capability + Permission + Scope</w:t>
            </w:r>
          </w:p>
        </w:tc>
      </w:tr>
      <w:tr>
        <w:tc>
          <w:tcPr>
            <w:tcW w:type="dxa" w:w="5040"/>
          </w:tcPr>
          <w:p>
            <w:r>
              <w:t>MADCR-054</w:t>
            </w:r>
          </w:p>
        </w:tc>
        <w:tc>
          <w:tcPr>
            <w:tcW w:type="dxa" w:w="5040"/>
          </w:tcPr>
          <w:p>
            <w:r>
              <w:t>HOST != INSTRUCTOR; explicit dual capability</w:t>
            </w:r>
          </w:p>
        </w:tc>
      </w:tr>
      <w:tr>
        <w:tc>
          <w:tcPr>
            <w:tcW w:type="dxa" w:w="5040"/>
          </w:tcPr>
          <w:p>
            <w:r>
              <w:t>Authorization-Access-Control-Specification-v1_1-FINAL.md</w:t>
            </w:r>
          </w:p>
        </w:tc>
        <w:tc>
          <w:tcPr>
            <w:tcW w:type="dxa" w:w="5040"/>
          </w:tcPr>
          <w:p>
            <w:r>
              <w:t>Existing RBAC permission/action/scope conventions</w:t>
            </w:r>
          </w:p>
        </w:tc>
      </w:tr>
      <w:tr>
        <w:tc>
          <w:tcPr>
            <w:tcW w:type="dxa" w:w="5040"/>
          </w:tcPr>
          <w:p>
            <w:r>
              <w:t>0002_m10_rbac_foundation__1_.sql</w:t>
            </w:r>
          </w:p>
        </w:tc>
        <w:tc>
          <w:tcPr>
            <w:tcW w:type="dxa" w:w="5040"/>
          </w:tcPr>
          <w:p>
            <w:r>
              <w:t>roles/permissions/role_permissions/granted_scope physical model</w:t>
            </w:r>
          </w:p>
        </w:tc>
      </w:tr>
    </w:tbl>
    <w:p>
      <w:pPr>
        <w:pStyle w:val="Heading1"/>
      </w:pPr>
      <w:r>
        <w:t>3. Consolidation Result</w:t>
      </w:r>
    </w:p>
    <w:p>
      <w:r>
        <w:t>The consolidated candidate contains seven original Session resource tables plus the new learning_session_assignments resource-level authorization table. The candidate preserves the approved nullable Session → Organization and Session → Event relationships, and it does not add a Partner relation or private-audience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Resource</w:t>
            </w:r>
          </w:p>
        </w:tc>
        <w:tc>
          <w:tcPr>
            <w:tcW w:type="dxa" w:w="5040"/>
            <w:shd w:fill="D9EAF7"/>
          </w:tcPr>
          <w:p>
            <w:r>
              <w:t>Status</w:t>
            </w:r>
          </w:p>
        </w:tc>
      </w:tr>
      <w:tr>
        <w:tc>
          <w:tcPr>
            <w:tcW w:type="dxa" w:w="5040"/>
          </w:tcPr>
          <w:p>
            <w:r>
              <w:t>learning_sessions</w:t>
            </w:r>
          </w:p>
        </w:tc>
        <w:tc>
          <w:tcPr>
            <w:tcW w:type="dxa" w:w="5040"/>
          </w:tcPr>
          <w:p>
            <w:r>
              <w:t>RETAINED / reconciled</w:t>
            </w:r>
          </w:p>
        </w:tc>
      </w:tr>
      <w:tr>
        <w:tc>
          <w:tcPr>
            <w:tcW w:type="dxa" w:w="5040"/>
          </w:tcPr>
          <w:p>
            <w:r>
              <w:t>session_enrollments</w:t>
            </w:r>
          </w:p>
        </w:tc>
        <w:tc>
          <w:tcPr>
            <w:tcW w:type="dxa" w:w="5040"/>
          </w:tcPr>
          <w:p>
            <w:r>
              <w:t>RETAINED / lifecycle remains PENDING → ACTIVE → COMPLETED</w:t>
            </w:r>
          </w:p>
        </w:tc>
      </w:tr>
      <w:tr>
        <w:tc>
          <w:tcPr>
            <w:tcW w:type="dxa" w:w="5040"/>
          </w:tcPr>
          <w:p>
            <w:r>
              <w:t>session_provider_bindings</w:t>
            </w:r>
          </w:p>
        </w:tc>
        <w:tc>
          <w:tcPr>
            <w:tcW w:type="dxa" w:w="5040"/>
          </w:tcPr>
          <w:p>
            <w:r>
              <w:t>RETAINED / one pending-active binding per Session</w:t>
            </w:r>
          </w:p>
        </w:tc>
      </w:tr>
      <w:tr>
        <w:tc>
          <w:tcPr>
            <w:tcW w:type="dxa" w:w="5040"/>
          </w:tcPr>
          <w:p>
            <w:r>
              <w:t>session_participation_evidence</w:t>
            </w:r>
          </w:p>
        </w:tc>
        <w:tc>
          <w:tcPr>
            <w:tcW w:type="dxa" w:w="5040"/>
          </w:tcPr>
          <w:p>
            <w:r>
              <w:t>RETAINED</w:t>
            </w:r>
          </w:p>
        </w:tc>
      </w:tr>
      <w:tr>
        <w:tc>
          <w:tcPr>
            <w:tcW w:type="dxa" w:w="5040"/>
          </w:tcPr>
          <w:p>
            <w:r>
              <w:t>session_attendance_evaluations</w:t>
            </w:r>
          </w:p>
        </w:tc>
        <w:tc>
          <w:tcPr>
            <w:tcW w:type="dxa" w:w="5040"/>
          </w:tcPr>
          <w:p>
            <w:r>
              <w:t>RETAINED</w:t>
            </w:r>
          </w:p>
        </w:tc>
      </w:tr>
      <w:tr>
        <w:tc>
          <w:tcPr>
            <w:tcW w:type="dxa" w:w="5040"/>
          </w:tcPr>
          <w:p>
            <w:r>
              <w:t>session_completion_outcomes</w:t>
            </w:r>
          </w:p>
        </w:tc>
        <w:tc>
          <w:tcPr>
            <w:tcW w:type="dxa" w:w="5040"/>
          </w:tcPr>
          <w:p>
            <w:r>
              <w:t>RETAINED</w:t>
            </w:r>
          </w:p>
        </w:tc>
      </w:tr>
      <w:tr>
        <w:tc>
          <w:tcPr>
            <w:tcW w:type="dxa" w:w="5040"/>
          </w:tcPr>
          <w:p>
            <w:r>
              <w:t>session_artifacts</w:t>
            </w:r>
          </w:p>
        </w:tc>
        <w:tc>
          <w:tcPr>
            <w:tcW w:type="dxa" w:w="5040"/>
          </w:tcPr>
          <w:p>
            <w:r>
              <w:t>RETAINED</w:t>
            </w:r>
          </w:p>
        </w:tc>
      </w:tr>
      <w:tr>
        <w:tc>
          <w:tcPr>
            <w:tcW w:type="dxa" w:w="5040"/>
          </w:tcPr>
          <w:p>
            <w:r>
              <w:t>learning_session_assignments</w:t>
            </w:r>
          </w:p>
        </w:tc>
        <w:tc>
          <w:tcPr>
            <w:tcW w:type="dxa" w:w="5040"/>
          </w:tcPr>
          <w:p>
            <w:r>
              <w:t>ADDED / TECH-23-24</w:t>
            </w:r>
          </w:p>
        </w:tc>
      </w:tr>
    </w:tbl>
    <w:p>
      <w:pPr>
        <w:pStyle w:val="Heading1"/>
      </w:pPr>
      <w:r>
        <w:t>4. Important Static Correction from TECH-13</w:t>
      </w:r>
    </w:p>
    <w:p>
      <w:r>
        <w:t>TECH-13 used direct ALTER TABLE ADD CONSTRAINT statements after CREATE TABLE IF NOT EXISTS. That is not safely rerunnable when a prior partial execution has already created the constraints. TECH-25 changes these two Session constraints to guarded DO blocks that check pg_constraint before adding them. This is a migration-safety correction only; it does not change the business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Constraint</w:t>
            </w:r>
          </w:p>
        </w:tc>
        <w:tc>
          <w:tcPr>
            <w:tcW w:type="dxa" w:w="3360"/>
            <w:shd w:fill="D9EAF7"/>
          </w:tcPr>
          <w:p>
            <w:r>
              <w:t>Business meaning</w:t>
            </w:r>
          </w:p>
        </w:tc>
        <w:tc>
          <w:tcPr>
            <w:tcW w:type="dxa" w:w="3360"/>
            <w:shd w:fill="D9EAF7"/>
          </w:tcPr>
          <w:p>
            <w:r>
              <w:t>TECH-25 treatment</w:t>
            </w:r>
          </w:p>
        </w:tc>
      </w:tr>
      <w:tr>
        <w:tc>
          <w:tcPr>
            <w:tcW w:type="dxa" w:w="3360"/>
          </w:tcPr>
          <w:p>
            <w:r>
              <w:t>ck_learning_sessions_org_visibility</w:t>
            </w:r>
          </w:p>
        </w:tc>
        <w:tc>
          <w:tcPr>
            <w:tcW w:type="dxa" w:w="3360"/>
          </w:tcPr>
          <w:p>
            <w:r>
              <w:t>ORGANIZATION visibility requires organization_id</w:t>
            </w:r>
          </w:p>
        </w:tc>
        <w:tc>
          <w:tcPr>
            <w:tcW w:type="dxa" w:w="3360"/>
          </w:tcPr>
          <w:p>
            <w:r>
              <w:t>Guarded/idempotent</w:t>
            </w:r>
          </w:p>
        </w:tc>
      </w:tr>
      <w:tr>
        <w:tc>
          <w:tcPr>
            <w:tcW w:type="dxa" w:w="3360"/>
          </w:tcPr>
          <w:p>
            <w:r>
              <w:t>ck_learning_sessions_time_order</w:t>
            </w:r>
          </w:p>
        </w:tc>
        <w:tc>
          <w:tcPr>
            <w:tcW w:type="dxa" w:w="3360"/>
          </w:tcPr>
          <w:p>
            <w:r>
              <w:t>end_at cannot precede start_at</w:t>
            </w:r>
          </w:p>
        </w:tc>
        <w:tc>
          <w:tcPr>
            <w:tcW w:type="dxa" w:w="3360"/>
          </w:tcPr>
          <w:p>
            <w:r>
              <w:t>Guarded/idempotent</w:t>
            </w:r>
          </w:p>
        </w:tc>
      </w:tr>
    </w:tbl>
    <w:p>
      <w:pPr>
        <w:pStyle w:val="Heading1"/>
      </w:pPr>
      <w:r>
        <w:t>5. Assignment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Rule</w:t>
            </w:r>
          </w:p>
        </w:tc>
        <w:tc>
          <w:tcPr>
            <w:tcW w:type="dxa" w:w="5040"/>
            <w:shd w:fill="D9EAF7"/>
          </w:tcPr>
          <w:p>
            <w:r>
              <w:t>TECH-25 result</w:t>
            </w:r>
          </w:p>
        </w:tc>
      </w:tr>
      <w:tr>
        <w:tc>
          <w:tcPr>
            <w:tcW w:type="dxa" w:w="5040"/>
          </w:tcPr>
          <w:p>
            <w:r>
              <w:t>Session → assignment cardinality</w:t>
            </w:r>
          </w:p>
        </w:tc>
        <w:tc>
          <w:tcPr>
            <w:tcW w:type="dxa" w:w="5040"/>
          </w:tcPr>
          <w:p>
            <w:r>
              <w:t>0..N</w:t>
            </w:r>
          </w:p>
        </w:tc>
      </w:tr>
      <w:tr>
        <w:tc>
          <w:tcPr>
            <w:tcW w:type="dxa" w:w="5040"/>
          </w:tcPr>
          <w:p>
            <w:r>
              <w:t>Actor → assignment cardinality</w:t>
            </w:r>
          </w:p>
        </w:tc>
        <w:tc>
          <w:tcPr>
            <w:tcW w:type="dxa" w:w="5040"/>
          </w:tcPr>
          <w:p>
            <w:r>
              <w:t>0..N</w:t>
            </w:r>
          </w:p>
        </w:tc>
      </w:tr>
      <w:t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HOST | INSTRUCTOR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 | REVOKED</w:t>
            </w:r>
          </w:p>
        </w:tc>
      </w:tr>
      <w:tr>
        <w:tc>
          <w:tcPr>
            <w:tcW w:type="dxa" w:w="5040"/>
          </w:tcPr>
          <w:p>
            <w:r>
              <w:t>Same actor, same Session, both capabilities</w:t>
            </w:r>
          </w:p>
        </w:tc>
        <w:tc>
          <w:tcPr>
            <w:tcW w:type="dxa" w:w="5040"/>
          </w:tcPr>
          <w:p>
            <w:r>
              <w:t>Allowed</w:t>
            </w:r>
          </w:p>
        </w:tc>
      </w:tr>
      <w:tr>
        <w:tc>
          <w:tcPr>
            <w:tcW w:type="dxa" w:w="5040"/>
          </w:tcPr>
          <w:p>
            <w:r>
              <w:t>Duplicate active same actor/capability/Session</w:t>
            </w:r>
          </w:p>
        </w:tc>
        <w:tc>
          <w:tcPr>
            <w:tcW w:type="dxa" w:w="5040"/>
          </w:tcPr>
          <w:p>
            <w:r>
              <w:t>Rejected by partial unique index</w:t>
            </w:r>
          </w:p>
        </w:tc>
      </w:tr>
      <w:tr>
        <w:tc>
          <w:tcPr>
            <w:tcW w:type="dxa" w:w="5040"/>
          </w:tcPr>
          <w:p>
            <w:r>
              <w:t>actor_id</w:t>
            </w:r>
          </w:p>
        </w:tc>
        <w:tc>
          <w:tcPr>
            <w:tcW w:type="dxa" w:w="5040"/>
          </w:tcPr>
          <w:p>
            <w:r>
              <w:t>FK → users.id</w:t>
            </w:r>
          </w:p>
        </w:tc>
      </w:tr>
      <w:tr>
        <w:tc>
          <w:tcPr>
            <w:tcW w:type="dxa" w:w="5040"/>
          </w:tcPr>
          <w:p>
            <w:r>
              <w:t>Organization membership</w:t>
            </w:r>
          </w:p>
        </w:tc>
        <w:tc>
          <w:tcPr>
            <w:tcW w:type="dxa" w:w="5040"/>
          </w:tcPr>
          <w:p>
            <w:r>
              <w:t>Not a substitute for Host/Instructor assignment</w:t>
            </w:r>
          </w:p>
        </w:tc>
      </w:tr>
      <w:tr>
        <w:tc>
          <w:tcPr>
            <w:tcW w:type="dxa" w:w="5040"/>
          </w:tcPr>
          <w:p>
            <w:r>
              <w:t>Provider external ID</w:t>
            </w:r>
          </w:p>
        </w:tc>
        <w:tc>
          <w:tcPr>
            <w:tcW w:type="dxa" w:w="5040"/>
          </w:tcPr>
          <w:p>
            <w:r>
              <w:t>Not authorization proof</w:t>
            </w:r>
          </w:p>
        </w:tc>
      </w:tr>
    </w:tbl>
    <w:p>
      <w:r>
        <w:t>No maximum number of Hosts/Instructors is invented because the supplied source chain contains no business maximum. This remains an implementation residual rather than an implicit one-host/one-instructor rule.</w:t>
      </w:r>
    </w:p>
    <w:p>
      <w:pPr>
        <w:pStyle w:val="Heading1"/>
      </w:pPr>
      <w:r>
        <w:t>6. Authorization / RLS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Layer</w:t>
            </w:r>
          </w:p>
        </w:tc>
        <w:tc>
          <w:tcPr>
            <w:tcW w:type="dxa" w:w="5040"/>
            <w:shd w:fill="D9EAF7"/>
          </w:tcPr>
          <w:p>
            <w:r>
              <w:t>TECH-25 rule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auth.uid() is canonical authenticated actor context</w:t>
            </w:r>
          </w:p>
        </w:tc>
      </w:tr>
      <w:tr>
        <w:tc>
          <w:tcPr>
            <w:tcW w:type="dxa" w:w="5040"/>
          </w:tcPr>
          <w:p>
            <w:r>
              <w:t>Platform RBAC</w:t>
            </w:r>
          </w:p>
        </w:tc>
        <w:tc>
          <w:tcPr>
            <w:tcW w:type="dxa" w:w="5040"/>
          </w:tcPr>
          <w:p>
            <w:r>
              <w:t>Permission + granted_scope remains required for privileged operations</w:t>
            </w:r>
          </w:p>
        </w:tc>
      </w:tr>
      <w:tr>
        <w:tc>
          <w:tcPr>
            <w:tcW w:type="dxa" w:w="5040"/>
          </w:tcPr>
          <w:p>
            <w:r>
              <w:t>Resource capability</w:t>
            </w:r>
          </w:p>
        </w:tc>
        <w:tc>
          <w:tcPr>
            <w:tcW w:type="dxa" w:w="5040"/>
          </w:tcPr>
          <w:p>
            <w:r>
              <w:t>HOST/INSTRUCTOR assignment required for corresponding resource-scoped operations</w:t>
            </w:r>
          </w:p>
        </w:tc>
      </w:tr>
      <w:tr>
        <w:tc>
          <w:tcPr>
            <w:tcW w:type="dxa" w:w="5040"/>
          </w:tcPr>
          <w:p>
            <w:r>
              <w:t>Organization scope</w:t>
            </w:r>
          </w:p>
        </w:tc>
        <w:tc>
          <w:tcPr>
            <w:tcW w:type="dxa" w:w="5040"/>
          </w:tcPr>
          <w:p>
            <w:r>
              <w:t>organization_members active membership remains domain context; it does not create Host/Instructor authority</w:t>
            </w:r>
          </w:p>
        </w:tc>
      </w:tr>
      <w:tr>
        <w:tc>
          <w:tcPr>
            <w:tcW w:type="dxa" w:w="5040"/>
          </w:tcPr>
          <w:p>
            <w:r>
              <w:t>Visibility</w:t>
            </w:r>
          </w:p>
        </w:tc>
        <w:tc>
          <w:tcPr>
            <w:tcW w:type="dxa" w:w="5040"/>
          </w:tcPr>
          <w:p>
            <w:r>
              <w:t>PUBLIC / ORGANIZATION / PARTNER / PRIVATE remains distinct from authorization</w:t>
            </w:r>
          </w:p>
        </w:tc>
      </w:tr>
      <w:tr>
        <w:tc>
          <w:tcPr>
            <w:tcW w:type="dxa" w:w="5040"/>
          </w:tcPr>
          <w:p>
            <w:r>
              <w:t>Commercial entitlement</w:t>
            </w:r>
          </w:p>
        </w:tc>
        <w:tc>
          <w:tcPr>
            <w:tcW w:type="dxa" w:w="5040"/>
          </w:tcPr>
          <w:p>
            <w:r>
              <w:t>Separate access condition where applicable</w:t>
            </w:r>
          </w:p>
        </w:tc>
      </w:tr>
      <w:tr>
        <w:tc>
          <w:tcPr>
            <w:tcW w:type="dxa" w:w="5040"/>
          </w:tcPr>
          <w:p>
            <w:r>
              <w:t>RLS</w:t>
            </w:r>
          </w:p>
        </w:tc>
        <w:tc>
          <w:tcPr>
            <w:tcW w:type="dxa" w:w="5040"/>
          </w:tcPr>
          <w:p>
            <w:r>
              <w:t>Second enforcement layer; client-supplied IDs are not authorization proof</w:t>
            </w:r>
          </w:p>
        </w:tc>
      </w:tr>
      <w:tr>
        <w:tc>
          <w:tcPr>
            <w:tcW w:type="dxa" w:w="5040"/>
          </w:tcPr>
          <w:p>
            <w:r>
              <w:t>Provider</w:t>
            </w:r>
          </w:p>
        </w:tc>
        <w:tc>
          <w:tcPr>
            <w:tcW w:type="dxa" w:w="5040"/>
          </w:tcPr>
          <w:p>
            <w:r>
              <w:t>Adapter/infrastructure boundary; external provider ID does not confer authority</w:t>
            </w:r>
          </w:p>
        </w:tc>
      </w:tr>
    </w:tbl>
    <w:p>
      <w:pPr>
        <w:pStyle w:val="Heading1"/>
      </w:pPr>
      <w:r>
        <w:t>7. Current RLS Policy Boundary</w:t>
      </w:r>
    </w:p>
    <w:p>
      <w:pPr>
        <w:pStyle w:val="ListBullet"/>
      </w:pPr>
      <w:r>
        <w:t>Public Session read remains conservative: only public scheduled/live/ended, non-deleted Sessions.</w:t>
      </w:r>
    </w:p>
    <w:p>
      <w:pPr>
        <w:pStyle w:val="ListBullet"/>
      </w:pPr>
      <w:r>
        <w:t>Session owner can read and create/update own Sessions under the existing Organization membership condition.</w:t>
      </w:r>
    </w:p>
    <w:p>
      <w:pPr>
        <w:pStyle w:val="ListBullet"/>
      </w:pPr>
      <w:r>
        <w:t>Organization members can read ORGANIZATION Sessions; membership is not management authority.</w:t>
      </w:r>
    </w:p>
    <w:p>
      <w:pPr>
        <w:pStyle w:val="ListBullet"/>
      </w:pPr>
      <w:r>
        <w:t>Learners can read their own enrollment and create their own PENDING enrollment; no generic lifecycle UPDATE policy is created.</w:t>
      </w:r>
    </w:p>
    <w:p>
      <w:pPr>
        <w:pStyle w:val="ListBullet"/>
      </w:pPr>
      <w:r>
        <w:t>Provider bindings remain owner-read only in this candidate; provider mutation remains controlled.</w:t>
      </w:r>
    </w:p>
    <w:p>
      <w:pPr>
        <w:pStyle w:val="ListBullet"/>
      </w:pPr>
      <w:r>
        <w:t>Evidence, attendance and completion remain own-enrollment read paths; mutation remains governed downstream.</w:t>
      </w:r>
    </w:p>
    <w:p>
      <w:pPr>
        <w:pStyle w:val="ListBullet"/>
      </w:pPr>
      <w:r>
        <w:t>Artifacts remain owner/organization-member read paths in this candidate.</w:t>
      </w:r>
    </w:p>
    <w:p>
      <w:pPr>
        <w:pStyle w:val="ListBullet"/>
      </w:pPr>
      <w:r>
        <w:t>Assignment rows are readable by the assigned actor or Session owner; generic assignment mutation is intentionally not seeded.</w:t>
      </w:r>
    </w:p>
    <w:p>
      <w:pPr>
        <w:pStyle w:val="Heading1"/>
      </w:pPr>
      <w:r>
        <w:t>8. Permission Seeding Boundary</w:t>
      </w:r>
    </w:p>
    <w:p>
      <w:r>
        <w:t>TECH-20 Option A and TECH-21 are incorporated semantically: Session permissions belong to the M04 Learning namespace. However, TECH-25 intentionally does not INSERT into permissions or role_permissions. The final physical permission rows and assignment mutation authorization must be reconciled before a staging execution candidate is declared.</w:t>
      </w:r>
    </w:p>
    <w:p>
      <w:pPr>
        <w:pStyle w:val="Heading1"/>
      </w:pPr>
      <w:r>
        <w:t>9. Static Verification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Check</w:t>
            </w:r>
          </w:p>
        </w:tc>
        <w:tc>
          <w:tcPr>
            <w:tcW w:type="dxa" w:w="5040"/>
            <w:shd w:fill="D9EAF7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Core Session tables consolidated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Assignment table included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users.id actor FK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Organization/Event nullable relationships preserved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No Partner relation added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No private audience table added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HOST/INSTRUCTOR separation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Dual capability supported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Active assignment uniqueness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Provider active uniqueness retained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Enrollment pending/active uniqueness retained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RLS enabled for all Session resources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Rerun-safe Session constraint addition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Permission seeding absent</w:t>
            </w:r>
          </w:p>
        </w:tc>
        <w:tc>
          <w:tcPr>
            <w:tcW w:type="dxa" w:w="5040"/>
          </w:tcPr>
          <w:p>
            <w:r>
              <w:t>PASS — intentional</w:t>
            </w:r>
          </w:p>
        </w:tc>
      </w:tr>
      <w:tr>
        <w:tc>
          <w:tcPr>
            <w:tcW w:type="dxa" w:w="5040"/>
          </w:tcPr>
          <w:p>
            <w:r>
              <w:t>role_permissions seeding absent</w:t>
            </w:r>
          </w:p>
        </w:tc>
        <w:tc>
          <w:tcPr>
            <w:tcW w:type="dxa" w:w="5040"/>
          </w:tcPr>
          <w:p>
            <w:r>
              <w:t>PASS — intentional</w:t>
            </w:r>
          </w:p>
        </w:tc>
      </w:tr>
      <w:tr>
        <w:tc>
          <w:tcPr>
            <w:tcW w:type="dxa" w:w="5040"/>
          </w:tcPr>
          <w:p>
            <w:r>
              <w:t>Live PostgreSQL execution</w:t>
            </w:r>
          </w:p>
        </w:tc>
        <w:tc>
          <w:tcPr>
            <w:tcW w:type="dxa" w:w="5040"/>
          </w:tcPr>
          <w:p>
            <w:r>
              <w:t>NOT RUN — environment gate</w:t>
            </w:r>
          </w:p>
        </w:tc>
      </w:tr>
    </w:tbl>
    <w:p>
      <w:pPr>
        <w:pStyle w:val="Heading1"/>
      </w:pPr>
      <w:r>
        <w:t>10. Residual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Residual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Next gate</w:t>
            </w:r>
          </w:p>
        </w:tc>
      </w:tr>
      <w:tr>
        <w:tc>
          <w:tcPr>
            <w:tcW w:type="dxa" w:w="3360"/>
          </w:tcPr>
          <w:p>
            <w:r>
              <w:t>Final physical permission IDs and role_permissions seed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Authorization seed/reconciliation</w:t>
            </w:r>
          </w:p>
        </w:tc>
      </w:tr>
      <w:tr>
        <w:tc>
          <w:tcPr>
            <w:tcW w:type="dxa" w:w="3360"/>
          </w:tcPr>
          <w:p>
            <w:r>
              <w:t>Assignment mutation RLS / server authorization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Final permission + capability implementation</w:t>
            </w:r>
          </w:p>
        </w:tc>
      </w:tr>
      <w:tr>
        <w:tc>
          <w:tcPr>
            <w:tcW w:type="dxa" w:w="3360"/>
          </w:tcPr>
          <w:p>
            <w:r>
              <w:t>Live PostgreSQL execution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Staging environment</w:t>
            </w:r>
          </w:p>
        </w:tc>
      </w:tr>
      <w:tr>
        <w:tc>
          <w:tcPr>
            <w:tcW w:type="dxa" w:w="3360"/>
          </w:tcPr>
          <w:p>
            <w:r>
              <w:t>Maximum Host/Instructor business rule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Only if later source/business evidence appears</w:t>
            </w:r>
          </w:p>
        </w:tc>
      </w:tr>
      <w:tr>
        <w:tc>
          <w:tcPr>
            <w:tcW w:type="dxa" w:w="3360"/>
          </w:tcPr>
          <w:p>
            <w:r>
              <w:t>Assignment lifecycle beyond ACTIVE/REVOKED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Implementation convention; no extra business states inferred</w:t>
            </w:r>
          </w:p>
        </w:tc>
      </w:tr>
      <w:tr>
        <w:tc>
          <w:tcPr>
            <w:tcW w:type="dxa" w:w="3360"/>
          </w:tcPr>
          <w:p>
            <w:r>
              <w:t>Provider OAuth/webhook exact contracts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Provider implementation</w:t>
            </w:r>
          </w:p>
        </w:tc>
      </w:tr>
      <w:tr>
        <w:tc>
          <w:tcPr>
            <w:tcW w:type="dxa" w:w="3360"/>
          </w:tcPr>
          <w:p>
            <w:r>
              <w:t>Attendance thresholds/configuration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BR/configuration</w:t>
            </w:r>
          </w:p>
        </w:tc>
      </w:tr>
      <w:tr>
        <w:tc>
          <w:tcPr>
            <w:tcW w:type="dxa" w:w="3360"/>
          </w:tcPr>
          <w:p>
            <w:r>
              <w:t>Recording retention/privacy/replay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Media policy</w:t>
            </w:r>
          </w:p>
        </w:tc>
      </w:tr>
      <w:tr>
        <w:tc>
          <w:tcPr>
            <w:tcW w:type="dxa" w:w="3360"/>
          </w:tcPr>
          <w:p>
            <w:r>
              <w:t>Automatic provider failover</w:t>
            </w:r>
          </w:p>
        </w:tc>
        <w:tc>
          <w:tcPr>
            <w:tcW w:type="dxa" w:w="3360"/>
          </w:tcPr>
          <w:p>
            <w:r>
              <w:t>OPEN/DEFERRED</w:t>
            </w:r>
          </w:p>
        </w:tc>
        <w:tc>
          <w:tcPr>
            <w:tcW w:type="dxa" w:w="3360"/>
          </w:tcPr>
          <w:p>
            <w:r>
              <w:t>AEP4-OD-08</w:t>
            </w:r>
          </w:p>
        </w:tc>
      </w:tr>
      <w:tr>
        <w:tc>
          <w:tcPr>
            <w:tcW w:type="dxa" w:w="3360"/>
          </w:tcPr>
          <w:p>
            <w:r>
              <w:t>Learning Activity physical Activity/API contract</w:t>
            </w:r>
          </w:p>
        </w:tc>
        <w:tc>
          <w:tcPr>
            <w:tcW w:type="dxa" w:w="3360"/>
          </w:tcPr>
          <w:p>
            <w:r>
              <w:t>DOWNSTREAM</w:t>
            </w:r>
          </w:p>
        </w:tc>
        <w:tc>
          <w:tcPr>
            <w:tcW w:type="dxa" w:w="3360"/>
          </w:tcPr>
          <w:p>
            <w:r>
              <w:t>Learning Activity gate</w:t>
            </w:r>
          </w:p>
        </w:tc>
      </w:tr>
    </w:tbl>
    <w:p>
      <w:pPr>
        <w:pStyle w:val="Heading1"/>
      </w:pPr>
      <w:r>
        <w:t>11. Gate Result</w:t>
      </w:r>
    </w:p>
    <w:p>
      <w:r>
        <w:t>TECH-25 = PASS WITH CONTROLLED AUTHORIZATION / RUNTIME RESIDUALS. The full Session schema candidate is internally reconciled at static design level. TECH-24's resource-level assignment is integrated without changing the approved Session relationships or permission namespace. The two TECH-13 non-idempotent constraint additions are corrected. No production/staging execution is claimed.</w:t>
      </w:r>
    </w:p>
    <w:p>
      <w:pPr>
        <w:pStyle w:val="Heading1"/>
      </w:pPr>
      <w:r>
        <w:t>12. User Open Decision</w:t>
      </w:r>
    </w:p>
    <w:p>
      <w:r>
        <w:t>No new user decision is required at TECH-25. The previous Option A approval is sufficient. The remaining gates are implementation/evidence/runtime gates. If later evidence establishes a business maximum for Host/Instructor assignment, it will be raised before the migration is frozen.</w:t>
      </w:r>
    </w:p>
    <w:p>
      <w:pPr>
        <w:pStyle w:val="Heading1"/>
      </w:pPr>
      <w:r>
        <w:t>13. Next Step — TECH-26</w:t>
      </w:r>
    </w:p>
    <w:p>
      <w:r>
        <w:t>TECH-26 should perform the authorization-seed reconciliation: compare the TECH-21 candidate permission families against the exact current M04 catalogue/action vocabulary, finalize the physical permission rows and role_permissions direction without inventing IDs, and then attach resource-level assignment mutation authorization to the final RLS candidate. No production execution.</w:t>
      </w:r>
    </w:p>
    <w:p>
      <w:pPr>
        <w:pStyle w:val="Heading1"/>
      </w:pPr>
      <w:r>
        <w:t>14. Traceability</w:t>
      </w:r>
    </w:p>
    <w:p>
      <w:pPr>
        <w:pStyle w:val="ListBullet"/>
      </w:pPr>
      <w:r>
        <w:t>TECH-13 Final Migration Candidate.</w:t>
      </w:r>
    </w:p>
    <w:p>
      <w:pPr>
        <w:pStyle w:val="ListBullet"/>
      </w:pPr>
      <w:r>
        <w:t>TECH-24 Session Assignment Migration &amp; RLS Candidate.</w:t>
      </w:r>
    </w:p>
    <w:p>
      <w:pPr>
        <w:pStyle w:val="ListBullet"/>
      </w:pPr>
      <w:r>
        <w:t>TECH-23 Physical Session Assignment Schema &amp; RLS Specification.</w:t>
      </w:r>
    </w:p>
    <w:p>
      <w:pPr>
        <w:pStyle w:val="ListBullet"/>
      </w:pPr>
      <w:r>
        <w:t>TECH-21 Session Permission Catalogue &amp; Role Mapping.</w:t>
      </w:r>
    </w:p>
    <w:p>
      <w:pPr>
        <w:pStyle w:val="ListBullet"/>
      </w:pPr>
      <w:r>
        <w:t>TECH-20 approved M04 namespace decision.</w:t>
      </w:r>
    </w:p>
    <w:p>
      <w:pPr>
        <w:pStyle w:val="ListBullet"/>
      </w:pPr>
      <w:r>
        <w:t>TECH-19-R1 Physical Authorization / Scope / RLS Design.</w:t>
      </w:r>
    </w:p>
    <w:p>
      <w:pPr>
        <w:pStyle w:val="ListBullet"/>
      </w:pPr>
      <w:r>
        <w:t>TECH-12 Migration Verification / Remediation.</w:t>
      </w:r>
    </w:p>
    <w:p>
      <w:pPr>
        <w:pStyle w:val="ListBullet"/>
      </w:pPr>
      <w:r>
        <w:t>TECH-10 Physical Session / users.id contract.</w:t>
      </w:r>
    </w:p>
    <w:p>
      <w:pPr>
        <w:pStyle w:val="ListBullet"/>
      </w:pPr>
      <w:r>
        <w:t>MADCR-053 Capability + Permission + Scope.</w:t>
      </w:r>
    </w:p>
    <w:p>
      <w:pPr>
        <w:pStyle w:val="ListBullet"/>
      </w:pPr>
      <w:r>
        <w:t>MADCR-054 HOST != INSTRUCTOR.</w:t>
      </w:r>
    </w:p>
    <w:p>
      <w:pPr>
        <w:pStyle w:val="ListBullet"/>
      </w:pPr>
      <w:r>
        <w:t>Authorization-Access-Control-Specification-v1_1-FINAL.md.</w:t>
      </w:r>
    </w:p>
    <w:p>
      <w:pPr>
        <w:pStyle w:val="ListBullet"/>
      </w:pPr>
      <w:r>
        <w:t>0002_m10_rbac_foundation__1_.sql.</w:t>
      </w:r>
    </w:p>
    <w:p>
      <w:pPr>
        <w:pStyle w:val="ListBullet"/>
      </w:pPr>
      <w:r>
        <w:t>AEP Synchronization Execution Lock.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