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RUMAHAGEN — TECH-27</w:t>
      </w:r>
    </w:p>
    <w:p>
      <w:pPr>
        <w:jc w:val="center"/>
      </w:pPr>
      <w:r>
        <w:rPr>
          <w:i/>
        </w:rPr>
        <w:t>Final Authorization Seed Gate</w:t>
      </w:r>
    </w:p>
    <w:p>
      <w:r>
        <w:rPr>
          <w:b/>
        </w:rPr>
        <w:t xml:space="preserve">Status: </w:t>
      </w:r>
      <w:r>
        <w:t>BLOCKED — ONE GOVERNANCE MAPPING DECISION REQUIRED BEFORE SEED FREEZE</w:t>
      </w:r>
    </w:p>
    <w:p>
      <w:pPr>
        <w:pStyle w:val="Heading1"/>
      </w:pPr>
      <w:r>
        <w:t>1. Purpose</w:t>
      </w:r>
    </w:p>
    <w:p>
      <w:r>
        <w:t>TECH-27 is the final authorization-seed gate for the Learning Session technical chain. It reconciles TECH-20/21/26 against the source authorization specification and the AEP4 RBAC impact evidence. The gate deliberately stops before executable seed freeze where the source does not support a final role mapping.</w:t>
      </w:r>
    </w:p>
    <w:p>
      <w:pPr>
        <w:pStyle w:val="Heading1"/>
      </w:pPr>
      <w:r>
        <w:t>2. Critical Source Finding</w:t>
      </w:r>
    </w:p>
    <w:p>
      <w:r>
        <w:t>The source corpus contains an explicit separation between semantic Session capability and physical RBAC role mapping. AEP4 STEP-10 states that exact default Instructor authority must remain OPEN and that MADCR-053/054 are dependencies. The formal technical execution package later records MADCR-053 and MADCR-054 as approved governing decisions, but it still preserves the rule that Instructor does not automatically receive Host/provider-bind/switch capability.</w:t>
      </w:r>
    </w:p>
    <w:p>
      <w:r>
        <w:t>Therefore the approved governance decision 'Host and Instructor are separate capabilities' does NOT by itself authorize a final role_permissions seed for Instructor. A capability assignment mechanism is available through TECH-23/24, but the role-to-permission seed still needs an explicit bounded mapping.</w:t>
      </w:r>
    </w:p>
    <w:p>
      <w:pPr>
        <w:pStyle w:val="Heading1"/>
      </w:pPr>
      <w:r>
        <w:t>3. Correction to TECH-26</w:t>
      </w:r>
    </w:p>
    <w:p>
      <w:r>
        <w:t>TECH-26 correctly discovered that 'Assign' is an existing action vocabulary, but it must be interpreted narrowly. PERM-M04-Assign-LearningSession represents the authority to create/revoke Session assignment rows. It is NOT the permission that makes an actor a Host.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Concept</w:t>
            </w:r>
          </w:p>
        </w:tc>
        <w:tc>
          <w:tcPr>
            <w:tcW w:type="dxa" w:w="5040"/>
            <w:shd w:fill="D9EAF7"/>
          </w:tcPr>
          <w:p>
            <w:r>
              <w:t>Correct treatment</w:t>
            </w:r>
          </w:p>
        </w:tc>
      </w:tr>
      <w:tr>
        <w:tc>
          <w:tcPr>
            <w:tcW w:type="dxa" w:w="5040"/>
          </w:tcPr>
          <w:p>
            <w:r>
              <w:t>Assign HOST/INSTRUCTOR to a Session</w:t>
            </w:r>
          </w:p>
        </w:tc>
        <w:tc>
          <w:tcPr>
            <w:tcW w:type="dxa" w:w="5040"/>
          </w:tcPr>
          <w:p>
            <w:r>
              <w:t>PERM-M04-Assign-LearningSession + privileged role/scope</w:t>
            </w:r>
          </w:p>
        </w:tc>
      </w:tr>
      <w:tr>
        <w:tc>
          <w:tcPr>
            <w:tcW w:type="dxa" w:w="5040"/>
          </w:tcPr>
          <w:p>
            <w:r>
              <w:t>Host/live-session/provider operations</w:t>
            </w:r>
          </w:p>
        </w:tc>
        <w:tc>
          <w:tcPr>
            <w:tcW w:type="dxa" w:w="5040"/>
          </w:tcPr>
          <w:p>
            <w:r>
              <w:t>Separate Host capability on assignment + relevant Session/provider permission</w:t>
            </w:r>
          </w:p>
        </w:tc>
      </w:tr>
      <w:tr>
        <w:tc>
          <w:tcPr>
            <w:tcW w:type="dxa" w:w="5040"/>
          </w:tcPr>
          <w:p>
            <w:r>
              <w:t>Instructor/teaching operations</w:t>
            </w:r>
          </w:p>
        </w:tc>
        <w:tc>
          <w:tcPr>
            <w:tcW w:type="dxa" w:w="5040"/>
          </w:tcPr>
          <w:p>
            <w:r>
              <w:t>Separate Instructor capability on assignment + relevant Session permission</w:t>
            </w:r>
          </w:p>
        </w:tc>
      </w:tr>
      <w:tr>
        <w:tc>
          <w:tcPr>
            <w:tcW w:type="dxa" w:w="5040"/>
          </w:tcPr>
          <w:p>
            <w:r>
              <w:t>Instructor role</w:t>
            </w:r>
          </w:p>
        </w:tc>
        <w:tc>
          <w:tcPr>
            <w:tcW w:type="dxa" w:w="5040"/>
          </w:tcPr>
          <w:p>
            <w:r>
              <w:t>Does not imply Host</w:t>
            </w:r>
          </w:p>
        </w:tc>
      </w:tr>
      <w:tr>
        <w:tc>
          <w:tcPr>
            <w:tcW w:type="dxa" w:w="5040"/>
          </w:tcPr>
          <w:p>
            <w:r>
              <w:t>Host capability</w:t>
            </w:r>
          </w:p>
        </w:tc>
        <w:tc>
          <w:tcPr>
            <w:tcW w:type="dxa" w:w="5040"/>
          </w:tcPr>
          <w:p>
            <w:r>
              <w:t>Does not create a new RBAC role</w:t>
            </w:r>
          </w:p>
        </w:tc>
      </w:tr>
      <w:tr>
        <w:tc>
          <w:tcPr>
            <w:tcW w:type="dxa" w:w="5040"/>
          </w:tcPr>
          <w:p>
            <w:r>
              <w:t>Dual Host + Instructor</w:t>
            </w:r>
          </w:p>
        </w:tc>
        <w:tc>
          <w:tcPr>
            <w:tcW w:type="dxa" w:w="5040"/>
          </w:tcPr>
          <w:p>
            <w:r>
              <w:t>Two explicit resource-level capability assignments</w:t>
            </w:r>
          </w:p>
        </w:tc>
      </w:tr>
    </w:tbl>
    <w:p>
      <w:r>
        <w:t>This correction prevents the permission taxonomy from conflating 'who may assign a capability' with 'what capability the assigned actor has'.</w:t>
      </w:r>
    </w:p>
    <w:p>
      <w:pPr>
        <w:pStyle w:val="Heading1"/>
      </w:pPr>
      <w:r>
        <w:t>4. Source-Supported Permission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Semantic need</w:t>
            </w:r>
          </w:p>
        </w:tc>
        <w:tc>
          <w:tcPr>
            <w:tcW w:type="dxa" w:w="3360"/>
            <w:shd w:fill="D9EAF7"/>
          </w:tcPr>
          <w:p>
            <w:r>
              <w:t>Closed physical action vocabulary candidate</w:t>
            </w:r>
          </w:p>
        </w:tc>
        <w:tc>
          <w:tcPr>
            <w:tcW w:type="dxa" w:w="3360"/>
            <w:shd w:fill="D9EAF7"/>
          </w:tcPr>
          <w:p>
            <w:r>
              <w:t>Status</w:t>
            </w:r>
          </w:p>
        </w:tc>
      </w:tr>
      <w:tr>
        <w:tc>
          <w:tcPr>
            <w:tcW w:type="dxa" w:w="3360"/>
          </w:tcPr>
          <w:p>
            <w:r>
              <w:t>Create Session</w:t>
            </w:r>
          </w:p>
        </w:tc>
        <w:tc>
          <w:tcPr>
            <w:tcW w:type="dxa" w:w="3360"/>
          </w:tcPr>
          <w:p>
            <w:r>
              <w:t>Create</w:t>
            </w:r>
          </w:p>
        </w:tc>
        <w:tc>
          <w:tcPr>
            <w:tcW w:type="dxa" w:w="3360"/>
          </w:tcPr>
          <w:p>
            <w:r>
              <w:t>SUPPORTED</w:t>
            </w:r>
          </w:p>
        </w:tc>
      </w:tr>
      <w:tr>
        <w:tc>
          <w:tcPr>
            <w:tcW w:type="dxa" w:w="3360"/>
          </w:tcPr>
          <w:p>
            <w:r>
              <w:t>Read/discover Session</w:t>
            </w:r>
          </w:p>
        </w:tc>
        <w:tc>
          <w:tcPr>
            <w:tcW w:type="dxa" w:w="3360"/>
          </w:tcPr>
          <w:p>
            <w:r>
              <w:t>View</w:t>
            </w:r>
          </w:p>
        </w:tc>
        <w:tc>
          <w:tcPr>
            <w:tcW w:type="dxa" w:w="3360"/>
          </w:tcPr>
          <w:p>
            <w:r>
              <w:t>SUPPORTED</w:t>
            </w:r>
          </w:p>
        </w:tc>
      </w:tr>
      <w:tr>
        <w:tc>
          <w:tcPr>
            <w:tcW w:type="dxa" w:w="3360"/>
          </w:tcPr>
          <w:p>
            <w:r>
              <w:t>Update Session</w:t>
            </w:r>
          </w:p>
        </w:tc>
        <w:tc>
          <w:tcPr>
            <w:tcW w:type="dxa" w:w="3360"/>
          </w:tcPr>
          <w:p>
            <w:r>
              <w:t>Update</w:t>
            </w:r>
          </w:p>
        </w:tc>
        <w:tc>
          <w:tcPr>
            <w:tcW w:type="dxa" w:w="3360"/>
          </w:tcPr>
          <w:p>
            <w:r>
              <w:t>SUPPORTED</w:t>
            </w:r>
          </w:p>
        </w:tc>
      </w:tr>
      <w:tr>
        <w:tc>
          <w:tcPr>
            <w:tcW w:type="dxa" w:w="3360"/>
          </w:tcPr>
          <w:p>
            <w:r>
              <w:t>Delete Session</w:t>
            </w:r>
          </w:p>
        </w:tc>
        <w:tc>
          <w:tcPr>
            <w:tcW w:type="dxa" w:w="3360"/>
          </w:tcPr>
          <w:p>
            <w:r>
              <w:t>Delete</w:t>
            </w:r>
          </w:p>
        </w:tc>
        <w:tc>
          <w:tcPr>
            <w:tcW w:type="dxa" w:w="3360"/>
          </w:tcPr>
          <w:p>
            <w:r>
              <w:t>SUPPORTED</w:t>
            </w:r>
          </w:p>
        </w:tc>
      </w:tr>
      <w:tr>
        <w:tc>
          <w:tcPr>
            <w:tcW w:type="dxa" w:w="3360"/>
          </w:tcPr>
          <w:p>
            <w:r>
              <w:t>Governed Session management/lifecycle</w:t>
            </w:r>
          </w:p>
        </w:tc>
        <w:tc>
          <w:tcPr>
            <w:tcW w:type="dxa" w:w="3360"/>
          </w:tcPr>
          <w:p>
            <w:r>
              <w:t>Manage</w:t>
            </w:r>
          </w:p>
        </w:tc>
        <w:tc>
          <w:tcPr>
            <w:tcW w:type="dxa" w:w="3360"/>
          </w:tcPr>
          <w:p>
            <w:r>
              <w:t>SUPPORTED</w:t>
            </w:r>
          </w:p>
        </w:tc>
      </w:tr>
      <w:tr>
        <w:tc>
          <w:tcPr>
            <w:tcW w:type="dxa" w:w="3360"/>
          </w:tcPr>
          <w:p>
            <w:r>
              <w:t>Create own enrollment</w:t>
            </w:r>
          </w:p>
        </w:tc>
        <w:tc>
          <w:tcPr>
            <w:tcW w:type="dxa" w:w="3360"/>
          </w:tcPr>
          <w:p>
            <w:r>
              <w:t>Create</w:t>
            </w:r>
          </w:p>
        </w:tc>
        <w:tc>
          <w:tcPr>
            <w:tcW w:type="dxa" w:w="3360"/>
          </w:tcPr>
          <w:p>
            <w:r>
              <w:t>SUPPORTED</w:t>
            </w:r>
          </w:p>
        </w:tc>
      </w:tr>
      <w:tr>
        <w:tc>
          <w:tcPr>
            <w:tcW w:type="dxa" w:w="3360"/>
          </w:tcPr>
          <w:p>
            <w:r>
              <w:t>Read enrollment/evidence/artifact</w:t>
            </w:r>
          </w:p>
        </w:tc>
        <w:tc>
          <w:tcPr>
            <w:tcW w:type="dxa" w:w="3360"/>
          </w:tcPr>
          <w:p>
            <w:r>
              <w:t>View</w:t>
            </w:r>
          </w:p>
        </w:tc>
        <w:tc>
          <w:tcPr>
            <w:tcW w:type="dxa" w:w="3360"/>
          </w:tcPr>
          <w:p>
            <w:r>
              <w:t>SUPPORTED</w:t>
            </w:r>
          </w:p>
        </w:tc>
      </w:tr>
      <w:tr>
        <w:tc>
          <w:tcPr>
            <w:tcW w:type="dxa" w:w="3360"/>
          </w:tcPr>
          <w:p>
            <w:r>
              <w:t>Attendance review</w:t>
            </w:r>
          </w:p>
        </w:tc>
        <w:tc>
          <w:tcPr>
            <w:tcW w:type="dxa" w:w="3360"/>
          </w:tcPr>
          <w:p>
            <w:r>
              <w:t>Manage</w:t>
            </w:r>
          </w:p>
        </w:tc>
        <w:tc>
          <w:tcPr>
            <w:tcW w:type="dxa" w:w="3360"/>
          </w:tcPr>
          <w:p>
            <w:r>
              <w:t>SUPPORTED</w:t>
            </w:r>
          </w:p>
        </w:tc>
      </w:tr>
      <w:tr>
        <w:tc>
          <w:tcPr>
            <w:tcW w:type="dxa" w:w="3360"/>
          </w:tcPr>
          <w:p>
            <w:r>
              <w:t>Completion evaluation</w:t>
            </w:r>
          </w:p>
        </w:tc>
        <w:tc>
          <w:tcPr>
            <w:tcW w:type="dxa" w:w="3360"/>
          </w:tcPr>
          <w:p>
            <w:r>
              <w:t>Manage</w:t>
            </w:r>
          </w:p>
        </w:tc>
        <w:tc>
          <w:tcPr>
            <w:tcW w:type="dxa" w:w="3360"/>
          </w:tcPr>
          <w:p>
            <w:r>
              <w:t>SUPPORTED</w:t>
            </w:r>
          </w:p>
        </w:tc>
      </w:tr>
      <w:tr>
        <w:tc>
          <w:tcPr>
            <w:tcW w:type="dxa" w:w="3360"/>
          </w:tcPr>
          <w:p>
            <w:r>
              <w:t>Provider management</w:t>
            </w:r>
          </w:p>
        </w:tc>
        <w:tc>
          <w:tcPr>
            <w:tcW w:type="dxa" w:w="3360"/>
          </w:tcPr>
          <w:p>
            <w:r>
              <w:t>Manage</w:t>
            </w:r>
          </w:p>
        </w:tc>
        <w:tc>
          <w:tcPr>
            <w:tcW w:type="dxa" w:w="3360"/>
          </w:tcPr>
          <w:p>
            <w:r>
              <w:t>SUPPORTED</w:t>
            </w:r>
          </w:p>
        </w:tc>
      </w:tr>
      <w:tr>
        <w:tc>
          <w:tcPr>
            <w:tcW w:type="dxa" w:w="3360"/>
          </w:tcPr>
          <w:p>
            <w:r>
              <w:t>Visibility management</w:t>
            </w:r>
          </w:p>
        </w:tc>
        <w:tc>
          <w:tcPr>
            <w:tcW w:type="dxa" w:w="3360"/>
          </w:tcPr>
          <w:p>
            <w:r>
              <w:t>Manage</w:t>
            </w:r>
          </w:p>
        </w:tc>
        <w:tc>
          <w:tcPr>
            <w:tcW w:type="dxa" w:w="3360"/>
          </w:tcPr>
          <w:p>
            <w:r>
              <w:t>SUPPORTED</w:t>
            </w:r>
          </w:p>
        </w:tc>
      </w:tr>
      <w:tr>
        <w:tc>
          <w:tcPr>
            <w:tcW w:type="dxa" w:w="3360"/>
          </w:tcPr>
          <w:p>
            <w:r>
              <w:t>Assign/revoke Host/Instructor assignment</w:t>
            </w:r>
          </w:p>
        </w:tc>
        <w:tc>
          <w:tcPr>
            <w:tcW w:type="dxa" w:w="3360"/>
          </w:tcPr>
          <w:p>
            <w:r>
              <w:t>Assign</w:t>
            </w:r>
          </w:p>
        </w:tc>
        <w:tc>
          <w:tcPr>
            <w:tcW w:type="dxa" w:w="3360"/>
          </w:tcPr>
          <w:p>
            <w:r>
              <w:t>SUPPORTED</w:t>
            </w:r>
          </w:p>
        </w:tc>
      </w:tr>
      <w:tr>
        <w:tc>
          <w:tcPr>
            <w:tcW w:type="dxa" w:w="3360"/>
          </w:tcPr>
          <w:p>
            <w:r>
              <w:t>Host capability itself</w:t>
            </w:r>
          </w:p>
        </w:tc>
        <w:tc>
          <w:tcPr>
            <w:tcW w:type="dxa" w:w="3360"/>
          </w:tcPr>
          <w:p>
            <w:r>
              <w:t>Resource-level capability, not a new role/action word</w:t>
            </w:r>
          </w:p>
        </w:tc>
        <w:tc>
          <w:tcPr>
            <w:tcW w:type="dxa" w:w="3360"/>
          </w:tcPr>
          <w:p>
            <w:r>
              <w:t>GOVERNED / PHYSICAL</w:t>
            </w:r>
          </w:p>
        </w:tc>
      </w:tr>
      <w:tr>
        <w:tc>
          <w:tcPr>
            <w:tcW w:type="dxa" w:w="3360"/>
          </w:tcPr>
          <w:p>
            <w:r>
              <w:t>Instructor capability itself</w:t>
            </w:r>
          </w:p>
        </w:tc>
        <w:tc>
          <w:tcPr>
            <w:tcW w:type="dxa" w:w="3360"/>
          </w:tcPr>
          <w:p>
            <w:r>
              <w:t>Resource-level capability, not a new role/action word</w:t>
            </w:r>
          </w:p>
        </w:tc>
        <w:tc>
          <w:tcPr>
            <w:tcW w:type="dxa" w:w="3360"/>
          </w:tcPr>
          <w:p>
            <w:r>
              <w:t>GOVERNED / PHYSICAL</w:t>
            </w:r>
          </w:p>
        </w:tc>
      </w:tr>
    </w:tbl>
    <w:p>
      <w:pPr>
        <w:pStyle w:val="Heading1"/>
      </w:pPr>
      <w:r>
        <w:t>5. Seed Freeze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</w:tcPr>
          <w:p>
            <w:r>
              <w:t>Role</w:t>
            </w:r>
          </w:p>
        </w:tc>
        <w:tc>
          <w:tcPr>
            <w:tcW w:type="dxa" w:w="2016"/>
            <w:shd w:fill="D9EAF7"/>
          </w:tcPr>
          <w:p>
            <w:r>
              <w:t>Candidate</w:t>
            </w:r>
          </w:p>
        </w:tc>
        <w:tc>
          <w:tcPr>
            <w:tcW w:type="dxa" w:w="2016"/>
            <w:shd w:fill="D9EAF7"/>
          </w:tcPr>
          <w:p>
            <w:r>
              <w:t>Scope</w:t>
            </w:r>
          </w:p>
        </w:tc>
        <w:tc>
          <w:tcPr>
            <w:tcW w:type="dxa" w:w="2016"/>
            <w:shd w:fill="D9EAF7"/>
          </w:tcPr>
          <w:p>
            <w:r>
              <w:t>Evidence basis</w:t>
            </w:r>
          </w:p>
        </w:tc>
        <w:tc>
          <w:tcPr>
            <w:tcW w:type="dxa" w:w="2016"/>
            <w:shd w:fill="D9EAF7"/>
          </w:tcPr>
          <w:p>
            <w:r>
              <w:t>Gate</w:t>
            </w:r>
          </w:p>
        </w:tc>
      </w:tr>
      <w:tr>
        <w:tc>
          <w:tcPr>
            <w:tcW w:type="dxa" w:w="2016"/>
          </w:tcPr>
          <w:p>
            <w:r>
              <w:t>Manager</w:t>
            </w:r>
          </w:p>
        </w:tc>
        <w:tc>
          <w:tcPr>
            <w:tcW w:type="dxa" w:w="2016"/>
          </w:tcPr>
          <w:p>
            <w:r>
              <w:t>Create/View/Update/Delete/Manage Session; enrollment/evidence/artifact; Assign; Provider Manage; Visibility Manage</w:t>
            </w:r>
          </w:p>
        </w:tc>
        <w:tc>
          <w:tcPr>
            <w:tcW w:type="dxa" w:w="2016"/>
          </w:tcPr>
          <w:p>
            <w:r>
              <w:t>all</w:t>
            </w:r>
          </w:p>
        </w:tc>
        <w:tc>
          <w:tcPr>
            <w:tcW w:type="dxa" w:w="2016"/>
          </w:tcPr>
          <w:p>
            <w:r>
              <w:t>SOURCE PATTERN + CONSERVATIVE PRIVILEGED ASSIGNMENT</w:t>
            </w:r>
          </w:p>
        </w:tc>
        <w:tc>
          <w:tcPr>
            <w:tcW w:type="dxa" w:w="2016"/>
          </w:tcPr>
          <w:p>
            <w:r>
              <w:t>Candidate</w:t>
            </w:r>
          </w:p>
        </w:tc>
      </w:tr>
      <w:tr>
        <w:tc>
          <w:tcPr>
            <w:tcW w:type="dxa" w:w="2016"/>
          </w:tcPr>
          <w:p>
            <w:r>
              <w:t>Admin</w:t>
            </w:r>
          </w:p>
        </w:tc>
        <w:tc>
          <w:tcPr>
            <w:tcW w:type="dxa" w:w="2016"/>
          </w:tcPr>
          <w:p>
            <w:r>
              <w:t>Create/View/Update/Delete/Manage Session; enrollment/evidence/artifact; Assign; Provider Manage; Visibility Manage</w:t>
            </w:r>
          </w:p>
        </w:tc>
        <w:tc>
          <w:tcPr>
            <w:tcW w:type="dxa" w:w="2016"/>
          </w:tcPr>
          <w:p>
            <w:r>
              <w:t>all</w:t>
            </w:r>
          </w:p>
        </w:tc>
        <w:tc>
          <w:tcPr>
            <w:tcW w:type="dxa" w:w="2016"/>
          </w:tcPr>
          <w:p>
            <w:r>
              <w:t>SOURCE PATTERN + CONSERVATIVE PRIVILEGED ASSIGNMENT</w:t>
            </w:r>
          </w:p>
        </w:tc>
        <w:tc>
          <w:tcPr>
            <w:tcW w:type="dxa" w:w="2016"/>
          </w:tcPr>
          <w:p>
            <w:r>
              <w:t>Candidate</w:t>
            </w:r>
          </w:p>
        </w:tc>
      </w:tr>
      <w:tr>
        <w:tc>
          <w:tcPr>
            <w:tcW w:type="dxa" w:w="2016"/>
          </w:tcPr>
          <w:p>
            <w:r>
              <w:t>Instructor</w:t>
            </w:r>
          </w:p>
        </w:tc>
        <w:tc>
          <w:tcPr>
            <w:tcW w:type="dxa" w:w="2016"/>
          </w:tcPr>
          <w:p>
            <w:r>
              <w:t>Session Create/View/Update and learning operations?</w:t>
            </w:r>
          </w:p>
        </w:tc>
        <w:tc>
          <w:tcPr>
            <w:tcW w:type="dxa" w:w="2016"/>
          </w:tcPr>
          <w:p>
            <w:r>
              <w:t>own</w:t>
            </w:r>
          </w:p>
        </w:tc>
        <w:tc>
          <w:tcPr>
            <w:tcW w:type="dxa" w:w="2016"/>
          </w:tcPr>
          <w:p>
            <w:r>
              <w:t>AEP4 says exact default Instructor authority remains OPEN; cannot silently freeze</w:t>
            </w:r>
          </w:p>
        </w:tc>
        <w:tc>
          <w:tcPr>
            <w:tcW w:type="dxa" w:w="2016"/>
          </w:tcPr>
          <w:p>
            <w:r>
              <w:t>BLOCKED</w:t>
            </w:r>
          </w:p>
        </w:tc>
      </w:tr>
      <w:tr>
        <w:tc>
          <w:tcPr>
            <w:tcW w:type="dxa" w:w="2016"/>
          </w:tcPr>
          <w:p>
            <w:r>
              <w:t>Agent</w:t>
            </w:r>
          </w:p>
        </w:tc>
        <w:tc>
          <w:tcPr>
            <w:tcW w:type="dxa" w:w="2016"/>
          </w:tcPr>
          <w:p>
            <w:r>
              <w:t>Own enrollment/evidence/artifact access</w:t>
            </w:r>
          </w:p>
        </w:tc>
        <w:tc>
          <w:tcPr>
            <w:tcW w:type="dxa" w:w="2016"/>
          </w:tcPr>
          <w:p>
            <w:r>
              <w:t>own</w:t>
            </w:r>
          </w:p>
        </w:tc>
        <w:tc>
          <w:tcPr>
            <w:tcW w:type="dxa" w:w="2016"/>
          </w:tcPr>
          <w:p>
            <w:r>
              <w:t>Existing M04 self-owned pattern</w:t>
            </w:r>
          </w:p>
        </w:tc>
        <w:tc>
          <w:tcPr>
            <w:tcW w:type="dxa" w:w="2016"/>
          </w:tcPr>
          <w:p>
            <w:r>
              <w:t>Candidate</w:t>
            </w:r>
          </w:p>
        </w:tc>
      </w:tr>
      <w:tr>
        <w:tc>
          <w:tcPr>
            <w:tcW w:type="dxa" w:w="2016"/>
          </w:tcPr>
          <w:p>
            <w:r>
              <w:t>Developer Partner</w:t>
            </w:r>
          </w:p>
        </w:tc>
        <w:tc>
          <w:tcPr>
            <w:tcW w:type="dxa" w:w="2016"/>
          </w:tcPr>
          <w:p>
            <w:r>
              <w:t>No default Session management</w:t>
            </w:r>
          </w:p>
        </w:tc>
        <w:tc>
          <w:tcPr>
            <w:tcW w:type="dxa" w:w="2016"/>
          </w:tcPr>
          <w:p>
            <w:r>
              <w:t>none</w:t>
            </w:r>
          </w:p>
        </w:tc>
        <w:tc>
          <w:tcPr>
            <w:tcW w:type="dxa" w:w="2016"/>
          </w:tcPr>
          <w:p>
            <w:r>
              <w:t>AEP4 source says no authority unless separately assigned</w:t>
            </w:r>
          </w:p>
        </w:tc>
        <w:tc>
          <w:tcPr>
            <w:tcW w:type="dxa" w:w="2016"/>
          </w:tcPr>
          <w:p>
            <w:r>
              <w:t>Candidate</w:t>
            </w:r>
          </w:p>
        </w:tc>
      </w:tr>
      <w:tr>
        <w:tc>
          <w:tcPr>
            <w:tcW w:type="dxa" w:w="2016"/>
          </w:tcPr>
          <w:p>
            <w:r>
              <w:t>Buyer</w:t>
            </w:r>
          </w:p>
        </w:tc>
        <w:tc>
          <w:tcPr>
            <w:tcW w:type="dxa" w:w="2016"/>
          </w:tcPr>
          <w:p>
            <w:r>
              <w:t>No default Session management</w:t>
            </w:r>
          </w:p>
        </w:tc>
        <w:tc>
          <w:tcPr>
            <w:tcW w:type="dxa" w:w="2016"/>
          </w:tcPr>
          <w:p>
            <w:r>
              <w:t>none</w:t>
            </w:r>
          </w:p>
        </w:tc>
        <w:tc>
          <w:tcPr>
            <w:tcW w:type="dxa" w:w="2016"/>
          </w:tcPr>
          <w:p>
            <w:r>
              <w:t>No source-backed Session authority</w:t>
            </w:r>
          </w:p>
        </w:tc>
        <w:tc>
          <w:tcPr>
            <w:tcW w:type="dxa" w:w="2016"/>
          </w:tcPr>
          <w:p>
            <w:r>
              <w:t>Candidate</w:t>
            </w:r>
          </w:p>
        </w:tc>
      </w:tr>
    </w:tbl>
    <w:p>
      <w:pPr>
        <w:pStyle w:val="Heading1"/>
      </w:pPr>
      <w:r>
        <w:t>6. The Single Open Decision</w:t>
      </w:r>
    </w:p>
    <w:p>
      <w:r>
        <w:t>The remaining decision is not whether Host and Instructor are separate — that is already approved. The decision is how the existing Instructor role maps to the new Session permission family.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</w:tcPr>
          <w:p>
            <w:r>
              <w:t>Option</w:t>
            </w:r>
          </w:p>
        </w:tc>
        <w:tc>
          <w:tcPr>
            <w:tcW w:type="dxa" w:w="2016"/>
            <w:shd w:fill="D9EAF7"/>
          </w:tcPr>
          <w:p>
            <w:r>
              <w:t>Meaning</w:t>
            </w:r>
          </w:p>
        </w:tc>
        <w:tc>
          <w:tcPr>
            <w:tcW w:type="dxa" w:w="2016"/>
            <w:shd w:fill="D9EAF7"/>
          </w:tcPr>
          <w:p>
            <w:r>
              <w:t>Pros</w:t>
            </w:r>
          </w:p>
        </w:tc>
        <w:tc>
          <w:tcPr>
            <w:tcW w:type="dxa" w:w="2016"/>
            <w:shd w:fill="D9EAF7"/>
          </w:tcPr>
          <w:p>
            <w:r>
              <w:t>Risk</w:t>
            </w:r>
          </w:p>
        </w:tc>
        <w:tc>
          <w:tcPr>
            <w:tcW w:type="dxa" w:w="2016"/>
            <w:shd w:fill="D9EAF7"/>
          </w:tcPr>
          <w:p>
            <w:r>
              <w:t>Recommendation</w:t>
            </w:r>
          </w:p>
        </w:tc>
      </w:tr>
      <w:tr>
        <w:tc>
          <w:tcPr>
            <w:tcW w:type="dxa" w:w="2016"/>
          </w:tcPr>
          <w:p>
            <w:r>
              <w:t>A</w:t>
            </w:r>
          </w:p>
        </w:tc>
        <w:tc>
          <w:tcPr>
            <w:tcW w:type="dxa" w:w="2016"/>
          </w:tcPr>
          <w:p>
            <w:r>
              <w:t>Instructor role receives the defined Session learning permissions at own/resource scope; Host remains assignment-only and is never implied.</w:t>
            </w:r>
          </w:p>
        </w:tc>
        <w:tc>
          <w:tcPr>
            <w:tcW w:type="dxa" w:w="2016"/>
          </w:tcPr>
          <w:p>
            <w:r>
              <w:t>Keeps existing Instructor role useful for Session teaching; minimal role change.</w:t>
            </w:r>
          </w:p>
        </w:tc>
        <w:tc>
          <w:tcPr>
            <w:tcW w:type="dxa" w:w="2016"/>
          </w:tcPr>
          <w:p>
            <w:r>
              <w:t>Must explicitly define which Session permissions are included.</w:t>
            </w:r>
          </w:p>
        </w:tc>
        <w:tc>
          <w:tcPr>
            <w:tcW w:type="dxa" w:w="2016"/>
          </w:tcPr>
          <w:p>
            <w:r>
              <w:t>RECOMMENDED</w:t>
            </w:r>
          </w:p>
        </w:tc>
      </w:tr>
      <w:tr>
        <w:tc>
          <w:tcPr>
            <w:tcW w:type="dxa" w:w="2016"/>
          </w:tcPr>
          <w:p>
            <w:r>
              <w:t>B</w:t>
            </w:r>
          </w:p>
        </w:tc>
        <w:tc>
          <w:tcPr>
            <w:tcW w:type="dxa" w:w="2016"/>
          </w:tcPr>
          <w:p>
            <w:r>
              <w:t>Instructor role receives no new Session permissions by default; only actors explicitly assigned capability receive resource-level operations through another privileged path.</w:t>
            </w:r>
          </w:p>
        </w:tc>
        <w:tc>
          <w:tcPr>
            <w:tcW w:type="dxa" w:w="2016"/>
          </w:tcPr>
          <w:p>
            <w:r>
              <w:t>Most conservative authorization.</w:t>
            </w:r>
          </w:p>
        </w:tc>
        <w:tc>
          <w:tcPr>
            <w:tcW w:type="dxa" w:w="2016"/>
          </w:tcPr>
          <w:p>
            <w:r>
              <w:t>Can make ordinary Instructor workflow impossible unless another permission path is added.</w:t>
            </w:r>
          </w:p>
        </w:tc>
        <w:tc>
          <w:tcPr>
            <w:tcW w:type="dxa" w:w="2016"/>
          </w:tcPr>
          <w:p>
            <w:r>
              <w:t>Not preferred</w:t>
            </w:r>
          </w:p>
        </w:tc>
      </w:tr>
      <w:tr>
        <w:tc>
          <w:tcPr>
            <w:tcW w:type="dxa" w:w="2016"/>
          </w:tcPr>
          <w:p>
            <w:r>
              <w:t>C</w:t>
            </w:r>
          </w:p>
        </w:tc>
        <w:tc>
          <w:tcPr>
            <w:tcW w:type="dxa" w:w="2016"/>
          </w:tcPr>
          <w:p>
            <w:r>
              <w:t>Create a new RBAC role Host/Session Instructor.</w:t>
            </w:r>
          </w:p>
        </w:tc>
        <w:tc>
          <w:tcPr>
            <w:tcW w:type="dxa" w:w="2016"/>
          </w:tcPr>
          <w:p>
            <w:r>
              <w:t>Explicit role separation.</w:t>
            </w:r>
          </w:p>
        </w:tc>
        <w:tc>
          <w:tcPr>
            <w:tcW w:type="dxa" w:w="2016"/>
          </w:tcPr>
          <w:p>
            <w:r>
              <w:t>Role explosion; conflicts with AEP4 instruction not to create new role solely for AEP4.</w:t>
            </w:r>
          </w:p>
        </w:tc>
        <w:tc>
          <w:tcPr>
            <w:tcW w:type="dxa" w:w="2016"/>
          </w:tcPr>
          <w:p>
            <w:r>
              <w:t>REJECT</w:t>
            </w:r>
          </w:p>
        </w:tc>
      </w:tr>
    </w:tbl>
    <w:p>
      <w:r>
        <w:t>Option A does NOT mean Instructor becomes Host. It means the existing Instructor account role receives the non-Host Session permission family at own/resource scope, while Host operations remain gated by explicit HOST assignment.</w:t>
      </w:r>
    </w:p>
    <w:p>
      <w:pPr>
        <w:pStyle w:val="Heading1"/>
      </w:pPr>
      <w:r>
        <w:t>7. Assignment Authority</w:t>
      </w:r>
    </w:p>
    <w:p>
      <w:r>
        <w:t>Separately, the physical assignment mutation remains privileged. TECH-27 keeps Manager/Admin as the conservative candidate for PERM-M04-Assign-LearningSession. The source supports Assign as a vocabulary but does not provide a specific Session role mapping. Therefore this remains a controlled implementation assumption, not a hidden governance fact.</w:t>
      </w:r>
    </w:p>
    <w:p>
      <w:r>
        <w:t>If Option A is approved, no further governance decision is needed to keep Manager/Admin as the conservative assignment authority for the next technical freeze; a later requirement can widen it through a separate decision.</w:t>
      </w:r>
    </w:p>
    <w:p>
      <w:pPr>
        <w:pStyle w:val="Heading1"/>
      </w:pPr>
      <w:r>
        <w:t>8. No-Go Conditions Before Seed Execution</w:t>
      </w:r>
    </w:p>
    <w:p>
      <w:pPr>
        <w:pStyle w:val="ListBullet"/>
      </w:pPr>
      <w:r>
        <w:t>Do not seed Instructor Session permissions until the user approves the bounded mapping above or equivalent evidence appears.</w:t>
      </w:r>
    </w:p>
    <w:p>
      <w:pPr>
        <w:pStyle w:val="ListBullet"/>
      </w:pPr>
      <w:r>
        <w:t>Do not seed Host as a role.</w:t>
      </w:r>
    </w:p>
    <w:p>
      <w:pPr>
        <w:pStyle w:val="ListBullet"/>
      </w:pPr>
      <w:r>
        <w:t>Do not use Assign permission as a substitute for Host capability.</w:t>
      </w:r>
    </w:p>
    <w:p>
      <w:pPr>
        <w:pStyle w:val="ListBullet"/>
      </w:pPr>
      <w:r>
        <w:t>Do not infer Host from Instructor.</w:t>
      </w:r>
    </w:p>
    <w:p>
      <w:pPr>
        <w:pStyle w:val="ListBullet"/>
      </w:pPr>
      <w:r>
        <w:t>Do not grant provider management merely because an actor is Instructor.</w:t>
      </w:r>
    </w:p>
    <w:p>
      <w:pPr>
        <w:pStyle w:val="ListBullet"/>
      </w:pPr>
      <w:r>
        <w:t>Do not seed PARTNER Session relation or private audience table.</w:t>
      </w:r>
    </w:p>
    <w:p>
      <w:pPr>
        <w:pStyle w:val="ListBullet"/>
      </w:pPr>
      <w:r>
        <w:t>Do not execute production migration.</w:t>
      </w:r>
    </w:p>
    <w:p>
      <w:pPr>
        <w:pStyle w:val="Heading1"/>
      </w:pPr>
      <w:r>
        <w:t>9. Gate Result</w:t>
      </w:r>
    </w:p>
    <w:p>
      <w:r>
        <w:t>TECH-27 = BLOCKED. The technical design is mature enough for final seed, but the source does not support silently freezing the Instructor role mapping. This is a deliberately narrow stop to prevent an authorization overgrant.</w:t>
      </w:r>
    </w:p>
    <w:p>
      <w:pPr>
        <w:pStyle w:val="Heading1"/>
      </w:pPr>
      <w:r>
        <w:t>10. User Decision Required</w:t>
      </w:r>
    </w:p>
    <w:p>
      <w:r>
        <w:t>Please approve one option:</w:t>
      </w:r>
    </w:p>
    <w:p>
      <w:pPr>
        <w:pStyle w:val="ListBullet"/>
      </w:pPr>
      <w:r>
        <w:t>A — Existing Instructor role receives Session learning permissions at own/resource scope; Host remains explicit resource-level capability.</w:t>
      </w:r>
    </w:p>
    <w:p>
      <w:pPr>
        <w:pStyle w:val="ListBullet"/>
      </w:pPr>
      <w:r>
        <w:t>B — Instructor receives no default Session permission family; all Session teaching authority must be separately assigned.</w:t>
      </w:r>
    </w:p>
    <w:p>
      <w:pPr>
        <w:pStyle w:val="ListBullet"/>
      </w:pPr>
      <w:r>
        <w:t>C — New Host/Session Instructor RBAC role.</w:t>
      </w:r>
    </w:p>
    <w:p>
      <w:r>
        <w:t>Lead recommendation: A. Option C is rejected by the source direction against role explosion; Option B is safer but unnecessarily restrictive for the existing Instructor role.</w:t>
      </w:r>
    </w:p>
    <w:p>
      <w:pPr>
        <w:pStyle w:val="Heading1"/>
      </w:pPr>
      <w:r>
        <w:t>11. Next Step After Approval</w:t>
      </w:r>
    </w:p>
    <w:p>
      <w:r>
        <w:t>TECH-28 — Authorization Seed Freeze &amp; Final RLS Mutation Mapping. Freeze the selected Instructor mapping, finalize Manager/Admin assignment authority, produce the executable-but-still-review-only permission/role_permissions seed, reconcile assignment mutation RLS, and run final static checks. Production execution remains separately gated.</w:t>
      </w:r>
    </w:p>
    <w:p>
      <w:pPr>
        <w:pStyle w:val="Heading1"/>
      </w:pPr>
      <w:r>
        <w:t>12. Traceability</w:t>
      </w:r>
    </w:p>
    <w:p>
      <w:pPr>
        <w:pStyle w:val="ListBullet"/>
      </w:pPr>
      <w:r>
        <w:t>TECH-20 — Physical Authorization Catalogue Closure.</w:t>
      </w:r>
    </w:p>
    <w:p>
      <w:pPr>
        <w:pStyle w:val="ListBullet"/>
      </w:pPr>
      <w:r>
        <w:t>TECH-21 — Session Permission Catalogue &amp; Role Mapping.</w:t>
      </w:r>
    </w:p>
    <w:p>
      <w:pPr>
        <w:pStyle w:val="ListBullet"/>
      </w:pPr>
      <w:r>
        <w:t>TECH-23 — Physical Session Assignment Schema &amp; RLS Specification.</w:t>
      </w:r>
    </w:p>
    <w:p>
      <w:pPr>
        <w:pStyle w:val="ListBullet"/>
      </w:pPr>
      <w:r>
        <w:t>TECH-24 — Session Assignment Migration/RLS Candidate.</w:t>
      </w:r>
    </w:p>
    <w:p>
      <w:pPr>
        <w:pStyle w:val="ListBullet"/>
      </w:pPr>
      <w:r>
        <w:t>TECH-25 — Consolidated Session Migration Candidate.</w:t>
      </w:r>
    </w:p>
    <w:p>
      <w:pPr>
        <w:pStyle w:val="ListBullet"/>
      </w:pPr>
      <w:r>
        <w:t>TECH-26 — Authorization Seed Reconciliation.</w:t>
      </w:r>
    </w:p>
    <w:p>
      <w:pPr>
        <w:pStyle w:val="ListBullet"/>
      </w:pPr>
      <w:r>
        <w:t>Authorization-Access-Control-Specification-v1_1-FINAL.md.</w:t>
      </w:r>
    </w:p>
    <w:p>
      <w:pPr>
        <w:pStyle w:val="ListBullet"/>
      </w:pPr>
      <w:r>
        <w:t>0002_m10_rbac_foundation__1_.sql.</w:t>
      </w:r>
    </w:p>
    <w:p>
      <w:pPr>
        <w:pStyle w:val="ListBullet"/>
      </w:pPr>
      <w:r>
        <w:t>AEP4 STEP-10 RBAC Permission Impact Specification.</w:t>
      </w:r>
    </w:p>
    <w:p>
      <w:pPr>
        <w:pStyle w:val="ListBullet"/>
      </w:pPr>
      <w:r>
        <w:t>RUMAHAGEN-TECHNICAL-EXECUTION-AUTHORIZATION-PACKAGE-v1.0.</w:t>
      </w:r>
    </w:p>
    <w:p>
      <w:pPr>
        <w:pStyle w:val="ListBullet"/>
      </w:pPr>
      <w:r>
        <w:t>MADCR-053 — Capability + Permission + Scope.</w:t>
      </w:r>
    </w:p>
    <w:p>
      <w:pPr>
        <w:pStyle w:val="ListBullet"/>
      </w:pPr>
      <w:r>
        <w:t>MADCR-054 — Host/Instructor separation.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