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RUMAHAGEN — TECH SYNCHRONIZATION KNOWLEDGE REFRESH</w:t>
      </w:r>
    </w:p>
    <w:p>
      <w:pPr>
        <w:jc w:val="center"/>
      </w:pPr>
      <w:r>
        <w:rPr>
          <w:i/>
        </w:rPr>
        <w:t>Supplemental Step 01–21 Reconciliation Addendum v1.1</w:t>
      </w:r>
    </w:p>
    <w:p>
      <w:r>
        <w:t>Date: 16 August 2026 | Basis: newly uploaded rumahagen tech sync partial.zip, including nested ZIP packages.</w:t>
      </w:r>
    </w:p>
    <w:p>
      <w:pPr>
        <w:pStyle w:val="Heading1"/>
      </w:pPr>
      <w:r>
        <w:t>1. Refresh Scope</w:t>
      </w:r>
    </w:p>
    <w:p>
      <w:r>
        <w:t>The supplemental package was unpacked recursively. It contains 35 top-level artifacts, including the complete TECH-01 through TECH-21 document chain and nested packages for TECH-11 through TECH-16. This package is now treated as continuity evidence for the technical execution chain.</w:t>
      </w:r>
    </w:p>
    <w:p>
      <w:pPr>
        <w:pStyle w:val="Heading1"/>
      </w:pPr>
      <w:r>
        <w:t>2. Canonical Technical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Stage</w:t>
            </w:r>
          </w:p>
        </w:tc>
        <w:tc>
          <w:tcPr>
            <w:tcW w:type="dxa" w:w="4320"/>
            <w:shd w:fill="D9EAF7"/>
          </w:tcPr>
          <w:p>
            <w:r>
              <w:t>Current state</w:t>
            </w:r>
          </w:p>
        </w:tc>
      </w:tr>
      <w:tr>
        <w:tc>
          <w:tcPr>
            <w:tcW w:type="dxa" w:w="4320"/>
          </w:tcPr>
          <w:p>
            <w:r>
              <w:t>TECH-01</w:t>
            </w:r>
          </w:p>
        </w:tc>
        <w:tc>
          <w:tcPr>
            <w:tcW w:type="dxa" w:w="4320"/>
          </w:tcPr>
          <w:p>
            <w:r>
              <w:t>CLOSED WITH CONTROLLED RESIDUALS</w:t>
            </w:r>
          </w:p>
        </w:tc>
      </w:tr>
      <w:tr>
        <w:tc>
          <w:tcPr>
            <w:tcW w:type="dxa" w:w="4320"/>
          </w:tcPr>
          <w:p>
            <w:r>
              <w:t>TECH-02</w:t>
            </w:r>
          </w:p>
        </w:tc>
        <w:tc>
          <w:tcPr>
            <w:tcW w:type="dxa" w:w="4320"/>
          </w:tcPr>
          <w:p>
            <w:r>
              <w:t>SEMANTIC DECISION CLOSED — PHYSICAL AUTHORIZATION DEFERRED</w:t>
            </w:r>
          </w:p>
        </w:tc>
      </w:tr>
      <w:tr>
        <w:tc>
          <w:tcPr>
            <w:tcW w:type="dxa" w:w="4320"/>
          </w:tcPr>
          <w:p>
            <w:r>
              <w:t>TECH-03</w:t>
            </w:r>
          </w:p>
        </w:tc>
        <w:tc>
          <w:tcPr>
            <w:tcW w:type="dxa" w:w="4320"/>
          </w:tcPr>
          <w:p>
            <w:r>
              <w:t>DECISION-READY / PHYSICAL RBAC NOT AUTHORIZED</w:t>
            </w:r>
          </w:p>
        </w:tc>
      </w:tr>
      <w:tr>
        <w:tc>
          <w:tcPr>
            <w:tcW w:type="dxa" w:w="4320"/>
          </w:tcPr>
          <w:p>
            <w:r>
              <w:t>TECH-04</w:t>
            </w:r>
          </w:p>
        </w:tc>
        <w:tc>
          <w:tcPr>
            <w:tcW w:type="dxa" w:w="4320"/>
          </w:tcPr>
          <w:p>
            <w:r>
              <w:t>SEMANTIC RECONCILIATION COMPLETE — EXACT PHYSICAL MAPPING CONTROLLED</w:t>
            </w:r>
          </w:p>
        </w:tc>
      </w:tr>
      <w:tr>
        <w:tc>
          <w:tcPr>
            <w:tcW w:type="dxa" w:w="4320"/>
          </w:tcPr>
          <w:p>
            <w:r>
              <w:t>TECH-05</w:t>
            </w:r>
          </w:p>
        </w:tc>
        <w:tc>
          <w:tcPr>
            <w:tcW w:type="dxa" w:w="4320"/>
          </w:tcPr>
          <w:p>
            <w:r>
              <w:t>READY WITH CONTROLLED PHYSICAL-DESIGN RESIDUALS</w:t>
            </w:r>
          </w:p>
        </w:tc>
      </w:tr>
      <w:tr>
        <w:tc>
          <w:tcPr>
            <w:tcW w:type="dxa" w:w="4320"/>
          </w:tcPr>
          <w:p>
            <w:r>
              <w:t>TECH-06</w:t>
            </w:r>
          </w:p>
        </w:tc>
        <w:tc>
          <w:tcPr>
            <w:tcW w:type="dxa" w:w="4320"/>
          </w:tcPr>
          <w:p>
            <w:r>
              <w:t>SEMANTIC RELATIONSHIP DESIGN PASS — physical cardinality then open</w:t>
            </w:r>
          </w:p>
        </w:tc>
      </w:tr>
      <w:tr>
        <w:tc>
          <w:tcPr>
            <w:tcW w:type="dxa" w:w="4320"/>
          </w:tcPr>
          <w:p>
            <w:r>
              <w:t>TECH-07</w:t>
            </w:r>
          </w:p>
        </w:tc>
        <w:tc>
          <w:tcPr>
            <w:tcW w:type="dxa" w:w="4320"/>
          </w:tcPr>
          <w:p>
            <w:r>
              <w:t>PASS — evidence review complete</w:t>
            </w:r>
          </w:p>
        </w:tc>
      </w:tr>
      <w:tr>
        <w:tc>
          <w:tcPr>
            <w:tcW w:type="dxa" w:w="4320"/>
          </w:tcPr>
          <w:p>
            <w:r>
              <w:t>TECH-08</w:t>
            </w:r>
          </w:p>
        </w:tc>
        <w:tc>
          <w:tcPr>
            <w:tcW w:type="dxa" w:w="4320"/>
          </w:tcPr>
          <w:p>
            <w:r>
              <w:t>Historical gate; later TECH-09/10 closed the physical relationship recommendations</w:t>
            </w:r>
          </w:p>
        </w:tc>
      </w:tr>
      <w:tr>
        <w:tc>
          <w:tcPr>
            <w:tcW w:type="dxa" w:w="4320"/>
          </w:tcPr>
          <w:p>
            <w:r>
              <w:t>TECH-09</w:t>
            </w:r>
          </w:p>
        </w:tc>
        <w:tc>
          <w:tcPr>
            <w:tcW w:type="dxa" w:w="4320"/>
          </w:tcPr>
          <w:p>
            <w:r>
              <w:t>DESIGN SPECIFICATION READY — implementation not authorized</w:t>
            </w:r>
          </w:p>
        </w:tc>
      </w:tr>
      <w:tr>
        <w:tc>
          <w:tcPr>
            <w:tcW w:type="dxa" w:w="4320"/>
          </w:tcPr>
          <w:p>
            <w:r>
              <w:t>TECH-10</w:t>
            </w:r>
          </w:p>
        </w:tc>
        <w:tc>
          <w:tcPr>
            <w:tcW w:type="dxa" w:w="4320"/>
          </w:tcPr>
          <w:p>
            <w:r>
              <w:t>PASS — physical baseline verified</w:t>
            </w:r>
          </w:p>
        </w:tc>
      </w:tr>
      <w:tr>
        <w:tc>
          <w:tcPr>
            <w:tcW w:type="dxa" w:w="4320"/>
          </w:tcPr>
          <w:p>
            <w:r>
              <w:t>TECH-11</w:t>
            </w:r>
          </w:p>
        </w:tc>
        <w:tc>
          <w:tcPr>
            <w:tcW w:type="dxa" w:w="4320"/>
          </w:tcPr>
          <w:p>
            <w:r>
              <w:t>REVIEW-READY DRAFT — execution not authorized</w:t>
            </w:r>
          </w:p>
        </w:tc>
      </w:tr>
      <w:tr>
        <w:tc>
          <w:tcPr>
            <w:tcW w:type="dxa" w:w="4320"/>
          </w:tcPr>
          <w:p>
            <w:r>
              <w:t>TECH-12</w:t>
            </w:r>
          </w:p>
        </w:tc>
        <w:tc>
          <w:tcPr>
            <w:tcW w:type="dxa" w:w="4320"/>
          </w:tcPr>
          <w:p>
            <w:r>
              <w:t>PASS WITH REMEDIATION — controlled SQL fixes required</w:t>
            </w:r>
          </w:p>
        </w:tc>
      </w:tr>
      <w:tr>
        <w:tc>
          <w:tcPr>
            <w:tcW w:type="dxa" w:w="4320"/>
          </w:tcPr>
          <w:p>
            <w:r>
              <w:t>TECH-13</w:t>
            </w:r>
          </w:p>
        </w:tc>
        <w:tc>
          <w:tcPr>
            <w:tcW w:type="dxa" w:w="4320"/>
          </w:tcPr>
          <w:p>
            <w:r>
              <w:t>PASS — final candidate frozen; execution not authorized</w:t>
            </w:r>
          </w:p>
        </w:tc>
      </w:tr>
      <w:tr>
        <w:tc>
          <w:tcPr>
            <w:tcW w:type="dxa" w:w="4320"/>
          </w:tcPr>
          <w:p>
            <w:r>
              <w:t>TECH-14</w:t>
            </w:r>
          </w:p>
        </w:tc>
        <w:tc>
          <w:tcPr>
            <w:tcW w:type="dxa" w:w="4320"/>
          </w:tcPr>
          <w:p>
            <w:r>
              <w:t>PASS — static pre-flight; runtime blocked by environment</w:t>
            </w:r>
          </w:p>
        </w:tc>
      </w:tr>
      <w:tr>
        <w:tc>
          <w:tcPr>
            <w:tcW w:type="dxa" w:w="4320"/>
          </w:tcPr>
          <w:p>
            <w:r>
              <w:t>TECH-15</w:t>
            </w:r>
          </w:p>
        </w:tc>
        <w:tc>
          <w:tcPr>
            <w:tcW w:type="dxa" w:w="4320"/>
          </w:tcPr>
          <w:p>
            <w:r>
              <w:t>Historical/stale governance-state artifact; do not use as current authority</w:t>
            </w:r>
          </w:p>
        </w:tc>
      </w:tr>
      <w:tr>
        <w:tc>
          <w:tcPr>
            <w:tcW w:type="dxa" w:w="4320"/>
          </w:tcPr>
          <w:p>
            <w:r>
              <w:t>TECH-15-R1</w:t>
            </w:r>
          </w:p>
        </w:tc>
        <w:tc>
          <w:tcPr>
            <w:tcW w:type="dxa" w:w="4320"/>
          </w:tcPr>
          <w:p>
            <w:r>
              <w:t>PASS — semantic authorization foundation reconciled</w:t>
            </w:r>
          </w:p>
        </w:tc>
      </w:tr>
      <w:tr>
        <w:tc>
          <w:tcPr>
            <w:tcW w:type="dxa" w:w="4320"/>
          </w:tcPr>
          <w:p>
            <w:r>
              <w:t>TECH-16-R1</w:t>
            </w:r>
          </w:p>
        </w:tc>
        <w:tc>
          <w:tcPr>
            <w:tcW w:type="dxa" w:w="4320"/>
          </w:tcPr>
          <w:p>
            <w:r>
              <w:t>PASS — provider-neutral adapter design validated</w:t>
            </w:r>
          </w:p>
        </w:tc>
      </w:tr>
      <w:tr>
        <w:tc>
          <w:tcPr>
            <w:tcW w:type="dxa" w:w="4320"/>
          </w:tcPr>
          <w:p>
            <w:r>
              <w:t>TECH-17</w:t>
            </w:r>
          </w:p>
        </w:tc>
        <w:tc>
          <w:tcPr>
            <w:tcW w:type="dxa" w:w="4320"/>
          </w:tcPr>
          <w:p>
            <w:r>
              <w:t>PASS WITH CONTROLLED RESIDUALS — technical model frozen</w:t>
            </w:r>
          </w:p>
        </w:tc>
      </w:tr>
      <w:tr>
        <w:tc>
          <w:tcPr>
            <w:tcW w:type="dxa" w:w="4320"/>
          </w:tcPr>
          <w:p>
            <w:r>
              <w:t>TECH-18</w:t>
            </w:r>
          </w:p>
        </w:tc>
        <w:tc>
          <w:tcPr>
            <w:tcW w:type="dxa" w:w="4320"/>
          </w:tcPr>
          <w:p>
            <w:r>
              <w:t>READY FOR CONTROLLED TECHNICAL DESIGN / execution gates; production not authorized</w:t>
            </w:r>
          </w:p>
        </w:tc>
      </w:tr>
      <w:tr>
        <w:tc>
          <w:tcPr>
            <w:tcW w:type="dxa" w:w="4320"/>
          </w:tcPr>
          <w:p>
            <w:r>
              <w:t>TECH-19</w:t>
            </w:r>
          </w:p>
        </w:tc>
        <w:tc>
          <w:tcPr>
            <w:tcW w:type="dxa" w:w="4320"/>
          </w:tcPr>
          <w:p>
            <w:r>
              <w:t>Historical/stale evidence-gap wording</w:t>
            </w:r>
          </w:p>
        </w:tc>
      </w:tr>
      <w:tr>
        <w:tc>
          <w:tcPr>
            <w:tcW w:type="dxa" w:w="4320"/>
          </w:tcPr>
          <w:p>
            <w:r>
              <w:t>TECH-19-R1</w:t>
            </w:r>
          </w:p>
        </w:tc>
        <w:tc>
          <w:tcPr>
            <w:tcW w:type="dxa" w:w="4320"/>
          </w:tcPr>
          <w:p>
            <w:r>
              <w:t>PASS WITH CONTROLLED EVIDENCE GAP — corrected physical authorization/RLS boundary</w:t>
            </w:r>
          </w:p>
        </w:tc>
      </w:tr>
      <w:tr>
        <w:tc>
          <w:tcPr>
            <w:tcW w:type="dxa" w:w="4320"/>
          </w:tcPr>
          <w:p>
            <w:r>
              <w:t>TECH-20</w:t>
            </w:r>
          </w:p>
        </w:tc>
        <w:tc>
          <w:tcPr>
            <w:tcW w:type="dxa" w:w="4320"/>
          </w:tcPr>
          <w:p>
            <w:r>
              <w:t>PASS after user selected Option A; namespace decision closed</w:t>
            </w:r>
          </w:p>
        </w:tc>
      </w:tr>
      <w:tr>
        <w:tc>
          <w:tcPr>
            <w:tcW w:type="dxa" w:w="4320"/>
          </w:tcPr>
          <w:p>
            <w:r>
              <w:t>TECH-21</w:t>
            </w:r>
          </w:p>
        </w:tc>
        <w:tc>
          <w:tcPr>
            <w:tcW w:type="dxa" w:w="4320"/>
          </w:tcPr>
          <w:p>
            <w:r>
              <w:t>PASS — Session permission catalogue/role mapping candidate; physical seeding and runtime RLS still controlled</w:t>
            </w:r>
          </w:p>
        </w:tc>
      </w:tr>
    </w:tbl>
    <w:p>
      <w:pPr>
        <w:pStyle w:val="Heading1"/>
      </w:pPr>
      <w:r>
        <w:t>3. Current Governing Invariants Reconfirmed</w:t>
      </w:r>
    </w:p>
    <w:p>
      <w:pPr>
        <w:pStyle w:val="ListBullet"/>
      </w:pPr>
      <w:r>
        <w:t>Visibility = PUBLIC / ORGANIZATION / PARTNER / PRIVATE.</w:t>
      </w:r>
    </w:p>
    <w:p>
      <w:pPr>
        <w:pStyle w:val="ListBullet"/>
      </w:pPr>
      <w:r>
        <w:t>Visibility is distinct from RBAC, RLS, Commercial Entitlement, qualification and awarding authority.</w:t>
      </w:r>
    </w:p>
    <w:p>
      <w:pPr>
        <w:pStyle w:val="ListBullet"/>
      </w:pPr>
      <w:r>
        <w:t>Session ↔ Organization = 0..1 nullable organization_id.</w:t>
      </w:r>
    </w:p>
    <w:p>
      <w:pPr>
        <w:pStyle w:val="ListBullet"/>
      </w:pPr>
      <w:r>
        <w:t>Session ↔ Event = 0..1 nullable event_id.</w:t>
      </w:r>
    </w:p>
    <w:p>
      <w:pPr>
        <w:pStyle w:val="ListBullet"/>
      </w:pPr>
      <w:r>
        <w:t>Session ↔ Partner = no physical relation in MVP.</w:t>
      </w:r>
    </w:p>
    <w:p>
      <w:pPr>
        <w:pStyle w:val="ListBullet"/>
      </w:pPr>
      <w:r>
        <w:t>PRIVATE = no dedicated audience table in MVP.</w:t>
      </w:r>
    </w:p>
    <w:p>
      <w:pPr>
        <w:pStyle w:val="ListBullet"/>
      </w:pPr>
      <w:r>
        <w:t>Course Enrollment ≠ Session Enrollment ≠ Event Registration.</w:t>
      </w:r>
    </w:p>
    <w:p>
      <w:pPr>
        <w:pStyle w:val="ListBullet"/>
      </w:pPr>
      <w:r>
        <w:t>Host ≠ Instructor; dual capability requires explicit authorization.</w:t>
      </w:r>
    </w:p>
    <w:p>
      <w:pPr>
        <w:pStyle w:val="ListBullet"/>
      </w:pPr>
      <w:r>
        <w:t>Session completion routes through Learning Activity; completion does not directly award LP/title/credential.</w:t>
      </w:r>
    </w:p>
    <w:p>
      <w:pPr>
        <w:pStyle w:val="ListBullet"/>
      </w:pPr>
      <w:r>
        <w:t>Provider is infrastructure behind adapter boundary; no vendor is universal/default.</w:t>
      </w:r>
    </w:p>
    <w:p>
      <w:pPr>
        <w:pStyle w:val="ListBullet"/>
      </w:pPr>
      <w:r>
        <w:t>Automatic provider failover remains OPEN/DEFERRED.</w:t>
      </w:r>
    </w:p>
    <w:p>
      <w:pPr>
        <w:pStyle w:val="ListBullet"/>
      </w:pPr>
      <w:r>
        <w:t>Production migration remains NOT AUTHORIZED.</w:t>
      </w:r>
    </w:p>
    <w:p>
      <w:pPr>
        <w:pStyle w:val="Heading1"/>
      </w:pPr>
      <w:r>
        <w:t>4. Important Source Reconciliation Correction</w:t>
      </w:r>
    </w:p>
    <w:p>
      <w:r>
        <w:t>TECH-20 v1.0 contains a factual count typo in its introductory text stating that the recovered catalogue contains 22 PERM-XXX entries. Direct inspection of Authorization-Access-Control-Specification-v1_1-FINAL.md confirms the catalogue contains 113 PERM-XXX entries across 13 module subsections. The 22 figure corresponds to the 22 audit-change rows highlighted in the v1.1 audit section, not the total catalogue. This count error does not change the approved Option A namespace decision or the Session permission gap: the current catalogue still contains no final Learning Session permission family.</w:t>
      </w:r>
    </w:p>
    <w:p>
      <w:pPr>
        <w:pStyle w:val="Heading1"/>
      </w:pPr>
      <w:r>
        <w:t>5. Important Process Rule</w:t>
      </w:r>
    </w:p>
    <w:p>
      <w:r>
        <w:t>The newly supplied TECH-01–TECH-21 chain is a technical continuity overlay. It does not override the locked AEP synchronization model. The AEP lock still requires AEP #1 → #2 → #3 → #4, per-AEP downstream synchronization, then one global project-wide technical/governance synchronization. Technical project-wide files must not be fully rewritten after every AEP; active contradictions may only be minimally contained. Every completed impact must remain a separate artifact.</w:t>
      </w:r>
    </w:p>
    <w:p>
      <w:pPr>
        <w:pStyle w:val="Heading1"/>
      </w:pPr>
      <w:r>
        <w:t>6. Current Residual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Residual</w:t>
            </w:r>
          </w:p>
        </w:tc>
        <w:tc>
          <w:tcPr>
            <w:tcW w:type="dxa" w:w="2880"/>
            <w:shd w:fill="D9EAF7"/>
          </w:tcPr>
          <w:p>
            <w:r>
              <w:t>Current state</w:t>
            </w:r>
          </w:p>
        </w:tc>
        <w:tc>
          <w:tcPr>
            <w:tcW w:type="dxa" w:w="2880"/>
            <w:shd w:fill="D9EAF7"/>
          </w:tcPr>
          <w:p>
            <w:r>
              <w:t>Owning next gate</w:t>
            </w:r>
          </w:p>
        </w:tc>
      </w:tr>
      <w:tr>
        <w:tc>
          <w:tcPr>
            <w:tcW w:type="dxa" w:w="2880"/>
          </w:tcPr>
          <w:p>
            <w:r>
              <w:t>Host/Instructor resource-level assignment</w:t>
            </w:r>
          </w:p>
        </w:tc>
        <w:tc>
          <w:tcPr>
            <w:tcW w:type="dxa" w:w="2880"/>
          </w:tcPr>
          <w:p>
            <w:r>
              <w:t>OPEN — no existing physical mechanism found in TECH source chain</w:t>
            </w:r>
          </w:p>
        </w:tc>
        <w:tc>
          <w:tcPr>
            <w:tcW w:type="dxa" w:w="2880"/>
          </w:tcPr>
          <w:p>
            <w:r>
              <w:t>TECH-22</w:t>
            </w:r>
          </w:p>
        </w:tc>
      </w:tr>
      <w:tr>
        <w:tc>
          <w:tcPr>
            <w:tcW w:type="dxa" w:w="2880"/>
          </w:tcPr>
          <w:p>
            <w:r>
              <w:t>Final Session permission physical rows</w:t>
            </w:r>
          </w:p>
        </w:tc>
        <w:tc>
          <w:tcPr>
            <w:tcW w:type="dxa" w:w="2880"/>
          </w:tcPr>
          <w:p>
            <w:r>
              <w:t>Namespace closed; candidate defined; not seeded</w:t>
            </w:r>
          </w:p>
        </w:tc>
        <w:tc>
          <w:tcPr>
            <w:tcW w:type="dxa" w:w="2880"/>
          </w:tcPr>
          <w:p>
            <w:r>
              <w:t>TECH-22/next migration revision</w:t>
            </w:r>
          </w:p>
        </w:tc>
      </w:tr>
      <w:tr>
        <w:tc>
          <w:tcPr>
            <w:tcW w:type="dxa" w:w="2880"/>
          </w:tcPr>
          <w:p>
            <w:r>
              <w:t>role_permissions finalization</w:t>
            </w:r>
          </w:p>
        </w:tc>
        <w:tc>
          <w:tcPr>
            <w:tcW w:type="dxa" w:w="2880"/>
          </w:tcPr>
          <w:p>
            <w:r>
              <w:t>CONTROLLED</w:t>
            </w:r>
          </w:p>
        </w:tc>
        <w:tc>
          <w:tcPr>
            <w:tcW w:type="dxa" w:w="2880"/>
          </w:tcPr>
          <w:p>
            <w:r>
              <w:t>TECH-22</w:t>
            </w:r>
          </w:p>
        </w:tc>
      </w:tr>
      <w:tr>
        <w:tc>
          <w:tcPr>
            <w:tcW w:type="dxa" w:w="2880"/>
          </w:tcPr>
          <w:p>
            <w:r>
              <w:t>Final RLS SQL/runtime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TECH-22 + staging</w:t>
            </w:r>
          </w:p>
        </w:tc>
      </w:tr>
      <w:tr>
        <w:tc>
          <w:tcPr>
            <w:tcW w:type="dxa" w:w="2880"/>
          </w:tcPr>
          <w:p>
            <w:r>
              <w:t>Attendance numeric/configuration policy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BR/configuration</w:t>
            </w:r>
          </w:p>
        </w:tc>
      </w:tr>
      <w:tr>
        <w:tc>
          <w:tcPr>
            <w:tcW w:type="dxa" w:w="2880"/>
          </w:tcPr>
          <w:p>
            <w:r>
              <w:t>Capacity exact enforcement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Session physical/API policy</w:t>
            </w:r>
          </w:p>
        </w:tc>
      </w:tr>
      <w:tr>
        <w:tc>
          <w:tcPr>
            <w:tcW w:type="dxa" w:w="2880"/>
          </w:tcPr>
          <w:p>
            <w:r>
              <w:t>Recording retention/privacy/replay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Media policy</w:t>
            </w:r>
          </w:p>
        </w:tc>
      </w:tr>
      <w:tr>
        <w:tc>
          <w:tcPr>
            <w:tcW w:type="dxa" w:w="2880"/>
          </w:tcPr>
          <w:p>
            <w:r>
              <w:t>Provider OAuth/scopes/webhook exact contracts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Provider implementation</w:t>
            </w:r>
          </w:p>
        </w:tc>
      </w:tr>
      <w:tr>
        <w:tc>
          <w:tcPr>
            <w:tcW w:type="dxa" w:w="2880"/>
          </w:tcPr>
          <w:p>
            <w:r>
              <w:t>Automatic provider failover</w:t>
            </w:r>
          </w:p>
        </w:tc>
        <w:tc>
          <w:tcPr>
            <w:tcW w:type="dxa" w:w="2880"/>
          </w:tcPr>
          <w:p>
            <w:r>
              <w:t>OPEN/DEFERRED</w:t>
            </w:r>
          </w:p>
        </w:tc>
        <w:tc>
          <w:tcPr>
            <w:tcW w:type="dxa" w:w="2880"/>
          </w:tcPr>
          <w:p>
            <w:r>
              <w:t>AEP4-OD-08</w:t>
            </w:r>
          </w:p>
        </w:tc>
      </w:tr>
      <w:tr>
        <w:tc>
          <w:tcPr>
            <w:tcW w:type="dxa" w:w="2880"/>
          </w:tcPr>
          <w:p>
            <w:r>
              <w:t>Learning Activity physical Activity/API contract</w:t>
            </w:r>
          </w:p>
        </w:tc>
        <w:tc>
          <w:tcPr>
            <w:tcW w:type="dxa" w:w="2880"/>
          </w:tcPr>
          <w:p>
            <w:r>
              <w:t>DOWNSTREAM</w:t>
            </w:r>
          </w:p>
        </w:tc>
        <w:tc>
          <w:tcPr>
            <w:tcW w:type="dxa" w:w="2880"/>
          </w:tcPr>
          <w:p>
            <w:r>
              <w:t>Learning Activity owning gate</w:t>
            </w:r>
          </w:p>
        </w:tc>
      </w:tr>
      <w:tr>
        <w:tc>
          <w:tcPr>
            <w:tcW w:type="dxa" w:w="2880"/>
          </w:tcPr>
          <w:p>
            <w:r>
              <w:t>AEP3 physical authority/scope decisions</w:t>
            </w:r>
          </w:p>
        </w:tc>
        <w:tc>
          <w:tcPr>
            <w:tcW w:type="dxa" w:w="2880"/>
          </w:tcPr>
          <w:p>
            <w:r>
              <w:t>SEPARATE</w:t>
            </w:r>
          </w:p>
        </w:tc>
        <w:tc>
          <w:tcPr>
            <w:tcW w:type="dxa" w:w="2880"/>
          </w:tcPr>
          <w:p>
            <w:r>
              <w:t>AEP3 gate</w:t>
            </w:r>
          </w:p>
        </w:tc>
      </w:tr>
      <w:tr>
        <w:tc>
          <w:tcPr>
            <w:tcW w:type="dxa" w:w="2880"/>
          </w:tcPr>
          <w:p>
            <w:r>
              <w:t>Commercial MBR-COM-001–013 / OPEN-C01</w:t>
            </w:r>
          </w:p>
        </w:tc>
        <w:tc>
          <w:tcPr>
            <w:tcW w:type="dxa" w:w="2880"/>
          </w:tcPr>
          <w:p>
            <w:r>
              <w:t>CONTROLLED evidence/provenance residuals</w:t>
            </w:r>
          </w:p>
        </w:tc>
        <w:tc>
          <w:tcPr>
            <w:tcW w:type="dxa" w:w="2880"/>
          </w:tcPr>
          <w:p>
            <w:r>
              <w:t>AEP1/Commercial gate</w:t>
            </w:r>
          </w:p>
        </w:tc>
      </w:tr>
    </w:tbl>
    <w:p>
      <w:pPr>
        <w:pStyle w:val="Heading1"/>
      </w:pPr>
      <w:r>
        <w:t>7. Next-Step Decision</w:t>
      </w:r>
    </w:p>
    <w:p>
      <w:r>
        <w:t>The knowledge refresh is COMPLETE for the supplied TECH synchronization package. The next technical gate is TECH-22, focused narrowly on resource-level Session authorization. No other semantic decision should be reopened.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