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STEP AKTIF = W4-02A.6.7 — DEPENDENCY MANIFEST FULL CONSOLIDATION / STEP09-D SYNCHRONIZATION</w:t>
      </w:r>
    </w:p>
    <w:p>
      <w:r>
        <w:t>RUMAHAGEN — DEPENDENCY MANIFEST</w:t>
      </w:r>
    </w:p>
    <w:p>
      <w:r>
        <w:t>v1.9 — CURRENT CANONICAL FULL CONSOLIDATED</w:t>
      </w:r>
    </w:p>
    <w:p>
      <w:r>
        <w:t>03 September 2026 | RE-OPENED → CONTROLLED RE-ENTRY →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Formal version</w:t>
            </w:r>
          </w:p>
        </w:tc>
        <w:tc>
          <w:tcPr>
            <w:tcW w:type="dxa" w:w="4320"/>
          </w:tcPr>
          <w:p>
            <w:r>
              <w:t>v1.9</w:t>
            </w:r>
          </w:p>
        </w:tc>
      </w:tr>
      <w:tr>
        <w:tc>
          <w:tcPr>
            <w:tcW w:type="dxa" w:w="4320"/>
          </w:tcPr>
          <w:p>
            <w:r>
              <w:t>Synchronization revision</w:t>
            </w:r>
          </w:p>
        </w:tc>
        <w:tc>
          <w:tcPr>
            <w:tcW w:type="dxa" w:w="4320"/>
          </w:tcPr>
          <w:p>
            <w:r>
              <w:t>W4-02A.6.7 / STEP09-D synchronized full-version revision</w:t>
            </w:r>
          </w:p>
        </w:tc>
      </w:tr>
      <w:tr>
        <w:tc>
          <w:tcPr>
            <w:tcW w:type="dxa" w:w="4320"/>
          </w:tcPr>
          <w:p>
            <w:r>
              <w:t>Predecessor</w:t>
            </w:r>
          </w:p>
        </w:tc>
        <w:tc>
          <w:tcPr>
            <w:tcW w:type="dxa" w:w="4320"/>
          </w:tcPr>
          <w:p>
            <w:r>
              <w:t>RUMAHAGEN_DEPENDENCY_MANIFEST_v1.8_FINAL_UPDATED</w:t>
            </w:r>
          </w:p>
        </w:tc>
      </w:tr>
      <w:tr>
        <w:tc>
          <w:tcPr>
            <w:tcW w:type="dxa" w:w="4320"/>
          </w:tcPr>
          <w:p>
            <w:r>
              <w:t>Artifact role</w:t>
            </w:r>
          </w:p>
        </w:tc>
        <w:tc>
          <w:tcPr>
            <w:tcW w:type="dxa" w:w="4320"/>
          </w:tcPr>
          <w:p>
            <w:r>
              <w:t>Technology/package/tool dependency catalogue + document dependency graph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CURRENT CANONICAL — PASS AFTER CONTROLLED RE-ENTRY</w:t>
            </w:r>
          </w:p>
        </w:tc>
      </w:tr>
      <w:tr>
        <w:tc>
          <w:tcPr>
            <w:tcW w:type="dxa" w:w="4320"/>
          </w:tcPr>
          <w:p>
            <w:r>
              <w:t>Implementation authority</w:t>
            </w:r>
          </w:p>
        </w:tc>
        <w:tc>
          <w:tcPr>
            <w:tcW w:type="dxa" w:w="4320"/>
          </w:tcPr>
          <w:p>
            <w:r>
              <w:t>Controls allowed dependency baseline; does not authorize package installation, migration, deployment or production</w:t>
            </w:r>
          </w:p>
        </w:tc>
      </w:tr>
      <w:tr>
        <w:tc>
          <w:tcPr>
            <w:tcW w:type="dxa" w:w="4320"/>
          </w:tcPr>
          <w:p>
            <w:r>
              <w:t>Physical authority</w:t>
            </w:r>
          </w:p>
        </w:tc>
        <w:tc>
          <w:tcPr>
            <w:tcW w:type="dxa" w:w="4320"/>
          </w:tcPr>
          <w:p>
            <w:r>
              <w:t>W4-01E frozen physical design; W4-02 sole current executable physical baseline</w:t>
            </w:r>
          </w:p>
        </w:tc>
      </w:tr>
    </w:tbl>
    <w:p>
      <w:r>
        <w:t>This is a NEW FULL CURRENT SOURCE FILE produced by a controlled STEP09-D re-entry. It is not a patch, append-only delta, or addendum. All still-valid predecessor content is carried forward; current W4-02A.6.1–6.6 authority is propagated; the previously identified dependency-direction omissions are fully reconciled; stale current-state wording is classified as superseded/history where applicable.</w:t>
      </w:r>
    </w:p>
    <w:p>
      <w:pPr>
        <w:pStyle w:val="Heading1"/>
      </w:pPr>
      <w:r>
        <w:t>1. PURPOSE</w:t>
      </w:r>
    </w:p>
    <w:p>
      <w:r>
        <w:t>The Dependency Manifest has two responsibilities:</w:t>
      </w:r>
    </w:p>
    <w:p>
      <w:r>
        <w:t>Maintain the official technology/package/tool dependency catalogue derived from approved Technical Decisions.</w:t>
      </w:r>
    </w:p>
    <w:p>
      <w:r>
        <w:t>Make the document-dependency chain explicit so downstream artifacts are finalized only after their governing inputs are stable.</w:t>
      </w:r>
    </w:p>
    <w:p>
      <w:r>
        <w:t>It is an implementation-facing control document for human developers and AI Coding Assistants, including Bolt. It does not create new architecture decisions.</w:t>
      </w:r>
    </w:p>
    <w:p>
      <w:r>
        <w:t>Dependency Manifest is not an implementation-execution authorization artifact.</w:t>
      </w:r>
    </w:p>
    <w:p>
      <w:pPr>
        <w:pStyle w:val="Heading1"/>
      </w:pPr>
      <w:r>
        <w:t>2. SOURCE FREEZE AND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W4-02A.6 Baseline Execution Prompt v1.1</w:t>
            </w:r>
          </w:p>
        </w:tc>
        <w:tc>
          <w:tcPr>
            <w:tcW w:type="dxa" w:w="2880"/>
          </w:tcPr>
          <w:p>
            <w:r>
              <w:t>LOCKED / GOVERNING</w:t>
            </w:r>
          </w:p>
        </w:tc>
        <w:tc>
          <w:tcPr>
            <w:tcW w:type="dxa" w:w="2880"/>
          </w:tcPr>
          <w:p>
            <w:r>
              <w:t>Execution discipline</w:t>
            </w:r>
          </w:p>
        </w:tc>
      </w:tr>
      <w:tr>
        <w:tc>
          <w:tcPr>
            <w:tcW w:type="dxa" w:w="2880"/>
          </w:tcPr>
          <w:p>
            <w:r>
              <w:t>W4-02A.6.0 Base Track v1.1</w:t>
            </w:r>
          </w:p>
        </w:tc>
        <w:tc>
          <w:tcPr>
            <w:tcW w:type="dxa" w:w="2880"/>
          </w:tcPr>
          <w:p>
            <w:r>
              <w:t>LOCKED / GREEN</w:t>
            </w:r>
          </w:p>
        </w:tc>
        <w:tc>
          <w:tcPr>
            <w:tcW w:type="dxa" w:w="2880"/>
          </w:tcPr>
          <w:p>
            <w:r>
              <w:t>37-step ordering authority</w:t>
            </w:r>
          </w:p>
        </w:tc>
      </w:tr>
      <w:tr>
        <w:tc>
          <w:tcPr>
            <w:tcW w:type="dxa" w:w="2880"/>
          </w:tcPr>
          <w:p>
            <w:r>
              <w:t>Master Business Rules BR-001–BR-151</w:t>
            </w:r>
          </w:p>
        </w:tc>
        <w:tc>
          <w:tcPr>
            <w:tcW w:type="dxa" w:w="2880"/>
          </w:tcPr>
          <w:p>
            <w:r>
              <w:t>LOCKED / NORMATIVE</w:t>
            </w:r>
          </w:p>
        </w:tc>
        <w:tc>
          <w:tcPr>
            <w:tcW w:type="dxa" w:w="2880"/>
          </w:tcPr>
          <w:p>
            <w:r>
              <w:t>Business authority</w:t>
            </w:r>
          </w:p>
        </w:tc>
      </w:tr>
      <w:tr>
        <w:tc>
          <w:tcPr>
            <w:tcW w:type="dxa" w:w="2880"/>
          </w:tcPr>
          <w:p>
            <w:r>
              <w:t>MAEP / Cross-AEP</w:t>
            </w:r>
          </w:p>
        </w:tc>
        <w:tc>
          <w:tcPr>
            <w:tcW w:type="dxa" w:w="2880"/>
          </w:tcPr>
          <w:p>
            <w:r>
              <w:t>GOVERNING EVOLUTION INPUT</w:t>
            </w:r>
          </w:p>
        </w:tc>
        <w:tc>
          <w:tcPr>
            <w:tcW w:type="dxa" w:w="2880"/>
          </w:tcPr>
          <w:p>
            <w:r>
              <w:t>Semantic evolution source</w:t>
            </w:r>
          </w:p>
        </w:tc>
      </w:tr>
      <w:tr>
        <w:tc>
          <w:tcPr>
            <w:tcW w:type="dxa" w:w="2880"/>
          </w:tcPr>
          <w:p>
            <w:r>
              <w:t>Project Constitution v1.17</w:t>
            </w:r>
          </w:p>
        </w:tc>
        <w:tc>
          <w:tcPr>
            <w:tcW w:type="dxa" w:w="2880"/>
          </w:tcPr>
          <w:p>
            <w:r>
              <w:t>CURRENT CANONICAL</w:t>
            </w:r>
          </w:p>
        </w:tc>
        <w:tc>
          <w:tcPr>
            <w:tcW w:type="dxa" w:w="2880"/>
          </w:tcPr>
          <w:p>
            <w:r>
              <w:t>Governance / engineering authority</w:t>
            </w:r>
          </w:p>
        </w:tc>
      </w:tr>
      <w:tr>
        <w:tc>
          <w:tcPr>
            <w:tcW w:type="dxa" w:w="2880"/>
          </w:tcPr>
          <w:p>
            <w:r>
              <w:t>Governance Register v1.16</w:t>
            </w:r>
          </w:p>
        </w:tc>
        <w:tc>
          <w:tcPr>
            <w:tcW w:type="dxa" w:w="2880"/>
          </w:tcPr>
          <w:p>
            <w:r>
              <w:t>CURRENT CANONICAL</w:t>
            </w:r>
          </w:p>
        </w:tc>
        <w:tc>
          <w:tcPr>
            <w:tcW w:type="dxa" w:w="2880"/>
          </w:tcPr>
          <w:p>
            <w:r>
              <w:t>Lifecycle/source-of-truth metadata</w:t>
            </w:r>
          </w:p>
        </w:tc>
      </w:tr>
      <w:tr>
        <w:tc>
          <w:tcPr>
            <w:tcW w:type="dxa" w:w="2880"/>
          </w:tcPr>
          <w:p>
            <w:r>
              <w:t>Decision Log v1.0</w:t>
            </w:r>
          </w:p>
        </w:tc>
        <w:tc>
          <w:tcPr>
            <w:tcW w:type="dxa" w:w="2880"/>
          </w:tcPr>
          <w:p>
            <w:r>
              <w:t>CURRENT LIVING</w:t>
            </w:r>
          </w:p>
        </w:tc>
        <w:tc>
          <w:tcPr>
            <w:tcW w:type="dxa" w:w="2880"/>
          </w:tcPr>
          <w:p>
            <w:r>
              <w:t>Decision chronology</w:t>
            </w:r>
          </w:p>
        </w:tc>
      </w:tr>
      <w:tr>
        <w:tc>
          <w:tcPr>
            <w:tcW w:type="dxa" w:w="2880"/>
          </w:tcPr>
          <w:p>
            <w:r>
              <w:t>Changelog v1.0</w:t>
            </w:r>
          </w:p>
        </w:tc>
        <w:tc>
          <w:tcPr>
            <w:tcW w:type="dxa" w:w="2880"/>
          </w:tcPr>
          <w:p>
            <w:r>
              <w:t>CURRENT LIVING</w:t>
            </w:r>
          </w:p>
        </w:tc>
        <w:tc>
          <w:tcPr>
            <w:tcW w:type="dxa" w:w="2880"/>
          </w:tcPr>
          <w:p>
            <w:r>
              <w:t>Change chronology</w:t>
            </w:r>
          </w:p>
        </w:tc>
      </w:tr>
      <w:tr>
        <w:tc>
          <w:tcPr>
            <w:tcW w:type="dxa" w:w="2880"/>
          </w:tcPr>
          <w:p>
            <w:r>
              <w:t>System Architecture v1.9</w:t>
            </w:r>
          </w:p>
        </w:tc>
        <w:tc>
          <w:tcPr>
            <w:tcW w:type="dxa" w:w="2880"/>
          </w:tcPr>
          <w:p>
            <w:r>
              <w:t>CURRENT CANONICAL</w:t>
            </w:r>
          </w:p>
        </w:tc>
        <w:tc>
          <w:tcPr>
            <w:tcW w:type="dxa" w:w="2880"/>
          </w:tcPr>
          <w:p>
            <w:r>
              <w:t>Semantic/system architecture</w:t>
            </w:r>
          </w:p>
        </w:tc>
      </w:tr>
      <w:tr>
        <w:tc>
          <w:tcPr>
            <w:tcW w:type="dxa" w:w="2880"/>
          </w:tcPr>
          <w:p>
            <w:r>
              <w:t>Technical Decisions v1.6</w:t>
            </w:r>
          </w:p>
        </w:tc>
        <w:tc>
          <w:tcPr>
            <w:tcW w:type="dxa" w:w="2880"/>
          </w:tcPr>
          <w:p>
            <w:r>
              <w:t>CURRENT CANONICAL</w:t>
            </w:r>
          </w:p>
        </w:tc>
        <w:tc>
          <w:tcPr>
            <w:tcW w:type="dxa" w:w="2880"/>
          </w:tcPr>
          <w:p>
            <w:r>
              <w:t>Technology consequence authority</w:t>
            </w:r>
          </w:p>
        </w:tc>
      </w:tr>
      <w:tr>
        <w:tc>
          <w:tcPr>
            <w:tcW w:type="dxa" w:w="2880"/>
          </w:tcPr>
          <w:p>
            <w:r>
              <w:t>W4-01E</w:t>
            </w:r>
          </w:p>
        </w:tc>
        <w:tc>
          <w:tcPr>
            <w:tcW w:type="dxa" w:w="2880"/>
          </w:tcPr>
          <w:p>
            <w:r>
              <w:t>FROZEN</w:t>
            </w:r>
          </w:p>
        </w:tc>
        <w:tc>
          <w:tcPr>
            <w:tcW w:type="dxa" w:w="2880"/>
          </w:tcPr>
          <w:p>
            <w:r>
              <w:t>Physical design authority</w:t>
            </w:r>
          </w:p>
        </w:tc>
      </w:tr>
    </w:tbl>
    <w:p>
      <w:r>
        <w:t>Historical documents are evidence/provenance only when superseded.</w:t>
      </w:r>
    </w:p>
    <w:p>
      <w:r>
        <w:t>Authority is determined by content/governance status, not filename, date or folder.</w:t>
      </w:r>
    </w:p>
    <w:p>
      <w:r>
        <w:t>MBR-COM-001–013 = CLOSED — OWNER APPROVED where relevant.</w:t>
      </w:r>
    </w:p>
    <w:p>
      <w:r>
        <w:t>Historical OPEN wording with later closure is not current OPEN.</w:t>
      </w:r>
    </w:p>
    <w:p>
      <w:pPr>
        <w:pStyle w:val="Heading1"/>
      </w:pPr>
      <w:r>
        <w:t>3. HISTORICAL / PROVENANCE SOURCES</w:t>
      </w:r>
    </w:p>
    <w:p>
      <w:r>
        <w:t>legacy dependency-manifest-v1.6-FINAL and v1.7 lineage;</w:t>
      </w:r>
    </w:p>
    <w:p>
      <w:r>
        <w:t>legacy Project Constitution versions;</w:t>
      </w:r>
    </w:p>
    <w:p>
      <w:r>
        <w:t>legacy Governance Register versions;</w:t>
      </w:r>
    </w:p>
    <w:p>
      <w:r>
        <w:t>legacy System Architecture versions;</w:t>
      </w:r>
    </w:p>
    <w:p>
      <w:r>
        <w:t>legacy Technical Decisions versions;</w:t>
      </w:r>
    </w:p>
    <w:p>
      <w:r>
        <w:t>older ERD/API/RBAC documents;</w:t>
      </w:r>
    </w:p>
    <w:p>
      <w:r>
        <w:t>AEP #1–#4 impact packages;</w:t>
      </w:r>
    </w:p>
    <w:p>
      <w:r>
        <w:t>Cross-AEP/D6 packages;</w:t>
      </w:r>
    </w:p>
    <w:p>
      <w:r>
        <w:t>Batch/TECH evidence;</w:t>
      </w:r>
    </w:p>
    <w:p>
      <w:r>
        <w:t>older P08 packages;</w:t>
      </w:r>
    </w:p>
    <w:p>
      <w:r>
        <w:t>old migration candidates;</w:t>
      </w:r>
    </w:p>
    <w:p>
      <w:r>
        <w:t>older package-installation plans and roadmap snapshots.</w:t>
      </w:r>
    </w:p>
    <w:p>
      <w:r>
        <w:t>Historical versions are retained for lineage. They do not compete with the current v1.9 authority.</w:t>
      </w:r>
    </w:p>
    <w:p>
      <w:pPr>
        <w:pStyle w:val="Heading1"/>
      </w:pPr>
      <w:r>
        <w:t>4. OFFICIAL TECHNOLOGY / PACKAGE DEPENDENCY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next</w:t>
            </w:r>
          </w:p>
        </w:tc>
        <w:tc>
          <w:tcPr>
            <w:tcW w:type="dxa" w:w="2160"/>
          </w:tcPr>
          <w:p>
            <w:r>
              <w:t>Application framework</w:t>
            </w:r>
          </w:p>
        </w:tc>
        <w:tc>
          <w:tcPr>
            <w:tcW w:type="dxa" w:w="2160"/>
          </w:tcPr>
          <w:p>
            <w:r>
              <w:t>Core framework</w:t>
            </w:r>
          </w:p>
        </w:tc>
        <w:tc>
          <w:tcPr>
            <w:tcW w:type="dxa" w:w="2160"/>
          </w:tcPr>
          <w:p>
            <w:r>
              <w:t>Approved — ADR-001/021</w:t>
            </w:r>
          </w:p>
        </w:tc>
      </w:tr>
      <w:tr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UI runtime</w:t>
            </w:r>
          </w:p>
        </w:tc>
        <w:tc>
          <w:tcPr>
            <w:tcW w:type="dxa" w:w="2160"/>
          </w:tcPr>
          <w:p>
            <w:r>
              <w:t>Core framework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react-dom</w:t>
            </w:r>
          </w:p>
        </w:tc>
        <w:tc>
          <w:tcPr>
            <w:tcW w:type="dxa" w:w="2160"/>
          </w:tcPr>
          <w:p>
            <w:r>
              <w:t>React web runtime</w:t>
            </w:r>
          </w:p>
        </w:tc>
        <w:tc>
          <w:tcPr>
            <w:tcW w:type="dxa" w:w="2160"/>
          </w:tcPr>
          <w:p>
            <w:r>
              <w:t>Core framework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Type safety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Approved — ADR-025</w:t>
            </w:r>
          </w:p>
        </w:tc>
      </w:tr>
      <w:tr>
        <w:tc>
          <w:tcPr>
            <w:tcW w:type="dxa" w:w="2160"/>
          </w:tcPr>
          <w:p>
            <w:r>
              <w:t>@supabase/supabase-js</w:t>
            </w:r>
          </w:p>
        </w:tc>
        <w:tc>
          <w:tcPr>
            <w:tcW w:type="dxa" w:w="2160"/>
          </w:tcPr>
          <w:p>
            <w:r>
              <w:t>Supabase client/server integration</w:t>
            </w:r>
          </w:p>
        </w:tc>
        <w:tc>
          <w:tcPr>
            <w:tcW w:type="dxa" w:w="2160"/>
          </w:tcPr>
          <w:p>
            <w:r>
              <w:t>Backend/Data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@supabase/ssr</w:t>
            </w:r>
          </w:p>
        </w:tc>
        <w:tc>
          <w:tcPr>
            <w:tcW w:type="dxa" w:w="2160"/>
          </w:tcPr>
          <w:p>
            <w:r>
              <w:t>Supabase SSR/session integration</w:t>
            </w:r>
          </w:p>
        </w:tc>
        <w:tc>
          <w:tcPr>
            <w:tcW w:type="dxa" w:w="2160"/>
          </w:tcPr>
          <w:p>
            <w:r>
              <w:t>Backend/Auth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tailwindcss</w:t>
            </w:r>
          </w:p>
        </w:tc>
        <w:tc>
          <w:tcPr>
            <w:tcW w:type="dxa" w:w="2160"/>
          </w:tcPr>
          <w:p>
            <w:r>
              <w:t>Utility CSS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shadcn/ui</w:t>
            </w:r>
          </w:p>
        </w:tc>
        <w:tc>
          <w:tcPr>
            <w:tcW w:type="dxa" w:w="2160"/>
          </w:tcPr>
          <w:p>
            <w:r>
              <w:t>UI component system</w:t>
            </w:r>
          </w:p>
        </w:tc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@tanstack/react-query</w:t>
            </w:r>
          </w:p>
        </w:tc>
        <w:tc>
          <w:tcPr>
            <w:tcW w:type="dxa" w:w="2160"/>
          </w:tcPr>
          <w:p>
            <w:r>
              <w:t>Server-state/data fetching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Approved — current technology baseline</w:t>
            </w:r>
          </w:p>
        </w:tc>
      </w:tr>
      <w:tr>
        <w:tc>
          <w:tcPr>
            <w:tcW w:type="dxa" w:w="2160"/>
          </w:tcPr>
          <w:p>
            <w:r>
              <w:t>zustand</w:t>
            </w:r>
          </w:p>
        </w:tc>
        <w:tc>
          <w:tcPr>
            <w:tcW w:type="dxa" w:w="2160"/>
          </w:tcPr>
          <w:p>
            <w:r>
              <w:t>Lightweight client state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Approved — current technology baseline</w:t>
            </w:r>
          </w:p>
        </w:tc>
      </w:tr>
      <w:tr>
        <w:tc>
          <w:tcPr>
            <w:tcW w:type="dxa" w:w="2160"/>
          </w:tcPr>
          <w:p>
            <w:r>
              <w:t>react-hook-form</w:t>
            </w:r>
          </w:p>
        </w:tc>
        <w:tc>
          <w:tcPr>
            <w:tcW w:type="dxa" w:w="2160"/>
          </w:tcPr>
          <w:p>
            <w:r>
              <w:t>Form state</w:t>
            </w:r>
          </w:p>
        </w:tc>
        <w:tc>
          <w:tcPr>
            <w:tcW w:type="dxa" w:w="2160"/>
          </w:tcPr>
          <w:p>
            <w:r>
              <w:t>Forms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zod</w:t>
            </w:r>
          </w:p>
        </w:tc>
        <w:tc>
          <w:tcPr>
            <w:tcW w:type="dxa" w:w="2160"/>
          </w:tcPr>
          <w:p>
            <w:r>
              <w:t>Runtime schema validation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Approved — ADR-025</w:t>
            </w:r>
          </w:p>
        </w:tc>
      </w:tr>
      <w:tr>
        <w:tc>
          <w:tcPr>
            <w:tcW w:type="dxa" w:w="2160"/>
          </w:tcPr>
          <w:p>
            <w:r>
              <w:t>resend</w:t>
            </w:r>
          </w:p>
        </w:tc>
        <w:tc>
          <w:tcPr>
            <w:tcW w:type="dxa" w:w="2160"/>
          </w:tcPr>
          <w:p>
            <w:r>
              <w:t>Transactional email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Approved — ADR-007</w:t>
            </w:r>
          </w:p>
        </w:tc>
      </w:tr>
      <w:tr>
        <w:tc>
          <w:tcPr>
            <w:tcW w:type="dxa" w:w="2160"/>
          </w:tcPr>
          <w:p>
            <w:r>
              <w:t>react-email / @react-email/components</w:t>
            </w:r>
          </w:p>
        </w:tc>
        <w:tc>
          <w:tcPr>
            <w:tcW w:type="dxa" w:w="2160"/>
          </w:tcPr>
          <w:p>
            <w:r>
              <w:t>Email templates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Recommended / approved ecosystem choice</w:t>
            </w:r>
          </w:p>
        </w:tc>
      </w:tr>
      <w:tr>
        <w:tc>
          <w:tcPr>
            <w:tcW w:type="dxa" w:w="2160"/>
          </w:tcPr>
          <w:p>
            <w:r>
              <w:t>@sentry/nextjs</w:t>
            </w:r>
          </w:p>
        </w:tc>
        <w:tc>
          <w:tcPr>
            <w:tcW w:type="dxa" w:w="2160"/>
          </w:tcPr>
          <w:p>
            <w:r>
              <w:t>Error tracking / monitoring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Approved — ADR-015</w:t>
            </w:r>
          </w:p>
        </w:tc>
      </w:tr>
      <w:tr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Analytics/UI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@tanstack/react-table</w:t>
            </w:r>
          </w:p>
        </w:tc>
        <w:tc>
          <w:tcPr>
            <w:tcW w:type="dxa" w:w="2160"/>
          </w:tcPr>
          <w:p>
            <w:r>
              <w:t>Headless data tables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@dnd-kit/core</w:t>
            </w:r>
          </w:p>
        </w:tc>
        <w:tc>
          <w:tcPr>
            <w:tcW w:type="dxa" w:w="2160"/>
          </w:tcPr>
          <w:p>
            <w:r>
              <w:t>Drag/drop engine</w:t>
            </w:r>
          </w:p>
        </w:tc>
        <w:tc>
          <w:tcPr>
            <w:tcW w:type="dxa" w:w="2160"/>
          </w:tcPr>
          <w:p>
            <w:r>
              <w:t>Interaction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@dnd-kit/sortable</w:t>
            </w:r>
          </w:p>
        </w:tc>
        <w:tc>
          <w:tcPr>
            <w:tcW w:type="dxa" w:w="2160"/>
          </w:tcPr>
          <w:p>
            <w:r>
              <w:t>Sortable preset</w:t>
            </w:r>
          </w:p>
        </w:tc>
        <w:tc>
          <w:tcPr>
            <w:tcW w:type="dxa" w:w="2160"/>
          </w:tcPr>
          <w:p>
            <w:r>
              <w:t>Interaction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date-fns</w:t>
            </w:r>
          </w:p>
        </w:tc>
        <w:tc>
          <w:tcPr>
            <w:tcW w:type="dxa" w:w="2160"/>
          </w:tcPr>
          <w:p>
            <w:r>
              <w:t>Date utilities</w:t>
            </w:r>
          </w:p>
        </w:tc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pdf-lib</w:t>
            </w:r>
          </w:p>
        </w:tc>
        <w:tc>
          <w:tcPr>
            <w:tcW w:type="dxa" w:w="2160"/>
          </w:tcPr>
          <w:p>
            <w:r>
              <w:t>Programmatic PDF generation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browser-image-compression</w:t>
            </w:r>
          </w:p>
        </w:tc>
        <w:tc>
          <w:tcPr>
            <w:tcW w:type="dxa" w:w="2160"/>
          </w:tcPr>
          <w:p>
            <w:r>
              <w:t>Client image compression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Approved — ADR-019</w:t>
            </w:r>
          </w:p>
        </w:tc>
      </w:tr>
      <w:tr>
        <w:tc>
          <w:tcPr>
            <w:tcW w:type="dxa" w:w="2160"/>
          </w:tcPr>
          <w:p>
            <w:r>
              <w:t>leaflet</w:t>
            </w:r>
          </w:p>
        </w:tc>
        <w:tc>
          <w:tcPr>
            <w:tcW w:type="dxa" w:w="2160"/>
          </w:tcPr>
          <w:p>
            <w:r>
              <w:t>Map rendering</w:t>
            </w:r>
          </w:p>
        </w:tc>
        <w:tc>
          <w:tcPr>
            <w:tcW w:type="dxa" w:w="2160"/>
          </w:tcPr>
          <w:p>
            <w:r>
              <w:t>Maps</w:t>
            </w:r>
          </w:p>
        </w:tc>
        <w:tc>
          <w:tcPr>
            <w:tcW w:type="dxa" w:w="2160"/>
          </w:tcPr>
          <w:p>
            <w:r>
              <w:t>Approved — ADR-008 v3</w:t>
            </w:r>
          </w:p>
        </w:tc>
      </w:tr>
      <w:tr>
        <w:tc>
          <w:tcPr>
            <w:tcW w:type="dxa" w:w="2160"/>
          </w:tcPr>
          <w:p>
            <w:r>
              <w:t>react-leaflet</w:t>
            </w:r>
          </w:p>
        </w:tc>
        <w:tc>
          <w:tcPr>
            <w:tcW w:type="dxa" w:w="2160"/>
          </w:tcPr>
          <w:p>
            <w:r>
              <w:t>React integration for Leaflet</w:t>
            </w:r>
          </w:p>
        </w:tc>
        <w:tc>
          <w:tcPr>
            <w:tcW w:type="dxa" w:w="2160"/>
          </w:tcPr>
          <w:p>
            <w:r>
              <w:t>Maps</w:t>
            </w:r>
          </w:p>
        </w:tc>
        <w:tc>
          <w:tcPr>
            <w:tcW w:type="dxa" w:w="2160"/>
          </w:tcPr>
          <w:p>
            <w:r>
              <w:t>Approved — ADR-008 v3</w:t>
            </w:r>
          </w:p>
        </w:tc>
      </w:tr>
      <w:tr>
        <w:tc>
          <w:tcPr>
            <w:tcW w:type="dxa" w:w="2160"/>
          </w:tcPr>
          <w:p>
            <w:r>
              <w:t>@types/leaflet</w:t>
            </w:r>
          </w:p>
        </w:tc>
        <w:tc>
          <w:tcPr>
            <w:tcW w:type="dxa" w:w="2160"/>
          </w:tcPr>
          <w:p>
            <w:r>
              <w:t>Leaflet TypeScript types</w:t>
            </w:r>
          </w:p>
        </w:tc>
        <w:tc>
          <w:tcPr>
            <w:tcW w:type="dxa" w:w="2160"/>
          </w:tcPr>
          <w:p>
            <w:r>
              <w:t>Maps</w:t>
            </w:r>
          </w:p>
        </w:tc>
        <w:tc>
          <w:tcPr>
            <w:tcW w:type="dxa" w:w="2160"/>
          </w:tcPr>
          <w:p>
            <w:r>
              <w:t>Approved — ADR-008 v3</w:t>
            </w:r>
          </w:p>
        </w:tc>
      </w:tr>
      <w:tr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 — ADR-016</w:t>
            </w:r>
          </w:p>
        </w:tc>
      </w:tr>
      <w:tr>
        <w:tc>
          <w:tcPr>
            <w:tcW w:type="dxa" w:w="2160"/>
          </w:tcPr>
          <w:p>
            <w:r>
              <w:t>@vitejs/plugin-react</w:t>
            </w:r>
          </w:p>
        </w:tc>
        <w:tc>
          <w:tcPr>
            <w:tcW w:type="dxa" w:w="2160"/>
          </w:tcPr>
          <w:p>
            <w:r>
              <w:t>React transform for Vitest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@testing-library/react</w:t>
            </w:r>
          </w:p>
        </w:tc>
        <w:tc>
          <w:tcPr>
            <w:tcW w:type="dxa" w:w="2160"/>
          </w:tcPr>
          <w:p>
            <w:r>
              <w:t>Component testing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 — ADR-016</w:t>
            </w:r>
          </w:p>
        </w:tc>
      </w:tr>
      <w:tr>
        <w:tc>
          <w:tcPr>
            <w:tcW w:type="dxa" w:w="2160"/>
          </w:tcPr>
          <w:p>
            <w:r>
              <w:t>@testing-library/jest-dom</w:t>
            </w:r>
          </w:p>
        </w:tc>
        <w:tc>
          <w:tcPr>
            <w:tcW w:type="dxa" w:w="2160"/>
          </w:tcPr>
          <w:p>
            <w:r>
              <w:t>DOM matchers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@testing-library/user-event</w:t>
            </w:r>
          </w:p>
        </w:tc>
        <w:tc>
          <w:tcPr>
            <w:tcW w:type="dxa" w:w="2160"/>
          </w:tcPr>
          <w:p>
            <w:r>
              <w:t>User interaction simulation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  <w:tr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E2E testing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 — ADR-016</w:t>
            </w:r>
          </w:p>
        </w:tc>
      </w:tr>
      <w:tr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Unit testing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Approved — ADR-016</w:t>
            </w:r>
          </w:p>
        </w:tc>
      </w:tr>
    </w:tbl>
    <w:p>
      <w:r>
        <w:t>The package catalogue is derived from the approved Technical Decisions baseline. Exact minor/patch versions are intentionally not frozen here; the real lockfile/package installation state is downstream execution evidence.</w:t>
      </w:r>
    </w:p>
    <w:p>
      <w:pPr>
        <w:pStyle w:val="Heading1"/>
      </w:pPr>
      <w:r>
        <w:t>5. NON-NPM / EXTERNAL / INFRASTRUCTURE DEPENDENCIES</w:t>
      </w:r>
    </w:p>
    <w:p>
      <w:r>
        <w:t>5.1 CURRENT VS FUTURE/CONDITIONAL PROVIDER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Typesense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Approved future alternative; not current Phase 1 runtime baseline</w:t>
            </w:r>
          </w:p>
        </w:tc>
        <w:tc>
          <w:tcPr>
            <w:tcW w:type="dxa" w:w="2160"/>
          </w:tcPr>
          <w:p>
            <w:r>
              <w:t>Do not treat as installed/current</w:t>
            </w:r>
          </w:p>
        </w:tc>
      </w:tr>
      <w:tr>
        <w:tc>
          <w:tcPr>
            <w:tcW w:type="dxa" w:w="2160"/>
          </w:tcPr>
          <w:p>
            <w:r>
              <w:t>Upstash Redis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Approved future alternative for cache/rate limit</w:t>
            </w:r>
          </w:p>
        </w:tc>
        <w:tc>
          <w:tcPr>
            <w:tcW w:type="dxa" w:w="2160"/>
          </w:tcPr>
          <w:p>
            <w:r>
              <w:t>Current Phase 1 uses Supabase Postgres rate_limit_log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Core database</w:t>
            </w:r>
          </w:p>
        </w:tc>
        <w:tc>
          <w:tcPr>
            <w:tcW w:type="dxa" w:w="2880"/>
          </w:tcPr>
          <w:p>
            <w:r>
              <w:t>Approved / current platform</w:t>
            </w:r>
          </w:p>
        </w:tc>
      </w:tr>
      <w:tr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Approved / current platform</w:t>
            </w:r>
          </w:p>
        </w:tc>
      </w:tr>
      <w:tr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Object/file storage</w:t>
            </w:r>
          </w:p>
        </w:tc>
        <w:tc>
          <w:tcPr>
            <w:tcW w:type="dxa" w:w="2880"/>
          </w:tcPr>
          <w:p>
            <w:r>
              <w:t>Approved / current platform</w:t>
            </w:r>
          </w:p>
        </w:tc>
      </w:tr>
      <w:tr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Hosting / deployment</w:t>
            </w:r>
          </w:p>
        </w:tc>
        <w:tc>
          <w:tcPr>
            <w:tcW w:type="dxa" w:w="2880"/>
          </w:tcPr>
          <w:p>
            <w:r>
              <w:t>Approved — ADR-010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Repository / CI/CD</w:t>
            </w:r>
          </w:p>
        </w:tc>
        <w:tc>
          <w:tcPr>
            <w:tcW w:type="dxa" w:w="2880"/>
          </w:tcPr>
          <w:p>
            <w:r>
              <w:t>Approved — ADR-010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PostgreSQL FTS + pg_trgm</w:t>
            </w:r>
          </w:p>
        </w:tc>
        <w:tc>
          <w:tcPr>
            <w:tcW w:type="dxa" w:w="2880"/>
          </w:tcPr>
          <w:p>
            <w:r>
              <w:t>Search Phase 1</w:t>
            </w:r>
          </w:p>
        </w:tc>
        <w:tc>
          <w:tcPr>
            <w:tcW w:type="dxa" w:w="2880"/>
          </w:tcPr>
          <w:p>
            <w:r>
              <w:t>Approved — ADR-005</w:t>
            </w:r>
          </w:p>
        </w:tc>
      </w:tr>
      <w:tr>
        <w:tc>
          <w:tcPr>
            <w:tcW w:type="dxa" w:w="2880"/>
          </w:tcPr>
          <w:p>
            <w:r>
              <w:t>Vercel Cron + Postgres Trigger / Database Webhook</w:t>
            </w:r>
          </w:p>
        </w:tc>
        <w:tc>
          <w:tcPr>
            <w:tcW w:type="dxa" w:w="2880"/>
          </w:tcPr>
          <w:p>
            <w:r>
              <w:t>Scheduled/asynchronous Phase 1</w:t>
            </w:r>
          </w:p>
        </w:tc>
        <w:tc>
          <w:tcPr>
            <w:tcW w:type="dxa" w:w="2880"/>
          </w:tcPr>
          <w:p>
            <w:r>
              <w:t>Approved — ADR-006</w:t>
            </w:r>
          </w:p>
        </w:tc>
      </w:tr>
      <w:tr>
        <w:tc>
          <w:tcPr>
            <w:tcW w:type="dxa" w:w="2880"/>
          </w:tcPr>
          <w:p>
            <w:r>
              <w:t>Supabase Postgres rate_limit_log</w:t>
            </w:r>
          </w:p>
        </w:tc>
        <w:tc>
          <w:tcPr>
            <w:tcW w:type="dxa" w:w="2880"/>
          </w:tcPr>
          <w:p>
            <w:r>
              <w:t>Phase 1 rate limiting</w:t>
            </w:r>
          </w:p>
        </w:tc>
        <w:tc>
          <w:tcPr>
            <w:tcW w:type="dxa" w:w="2880"/>
          </w:tcPr>
          <w:p>
            <w:r>
              <w:t>Approved — ADR-018</w:t>
            </w:r>
          </w:p>
        </w:tc>
      </w:tr>
      <w:tr>
        <w:tc>
          <w:tcPr>
            <w:tcW w:type="dxa" w:w="2880"/>
          </w:tcPr>
          <w:p>
            <w:r>
              <w:t>OpenStreetMap</w:t>
            </w:r>
          </w:p>
        </w:tc>
        <w:tc>
          <w:tcPr>
            <w:tcW w:type="dxa" w:w="2880"/>
          </w:tcPr>
          <w:p>
            <w:r>
              <w:t>Map tiles</w:t>
            </w:r>
          </w:p>
        </w:tc>
        <w:tc>
          <w:tcPr>
            <w:tcW w:type="dxa" w:w="2880"/>
          </w:tcPr>
          <w:p>
            <w:r>
              <w:t>Approved with Leaflet architecture</w:t>
            </w:r>
          </w:p>
        </w:tc>
      </w:tr>
      <w:tr>
        <w:tc>
          <w:tcPr>
            <w:tcW w:type="dxa" w:w="2880"/>
          </w:tcPr>
          <w:p>
            <w:r>
              <w:t>LocationIQ</w:t>
            </w:r>
          </w:p>
        </w:tc>
        <w:tc>
          <w:tcPr>
            <w:tcW w:type="dxa" w:w="2880"/>
          </w:tcPr>
          <w:p>
            <w:r>
              <w:t>Primary geocoding / reverse geocoding</w:t>
            </w:r>
          </w:p>
        </w:tc>
        <w:tc>
          <w:tcPr>
            <w:tcW w:type="dxa" w:w="2880"/>
          </w:tcPr>
          <w:p>
            <w:r>
              <w:t>Approved — ADR-008 v3</w:t>
            </w:r>
          </w:p>
        </w:tc>
      </w:tr>
      <w:tr>
        <w:tc>
          <w:tcPr>
            <w:tcW w:type="dxa" w:w="2880"/>
          </w:tcPr>
          <w:p>
            <w:r>
              <w:t>Geoapify</w:t>
            </w:r>
          </w:p>
        </w:tc>
        <w:tc>
          <w:tcPr>
            <w:tcW w:type="dxa" w:w="2880"/>
          </w:tcPr>
          <w:p>
            <w:r>
              <w:t>Approved alternative geocoding provider</w:t>
            </w:r>
          </w:p>
        </w:tc>
        <w:tc>
          <w:tcPr>
            <w:tcW w:type="dxa" w:w="2880"/>
          </w:tcPr>
          <w:p>
            <w:r>
              <w:t>Approved alternative — ADR-008 v3</w:t>
            </w:r>
          </w:p>
        </w:tc>
      </w:tr>
      <w:tr>
        <w:tc>
          <w:tcPr>
            <w:tcW w:type="dxa" w:w="2880"/>
          </w:tcPr>
          <w:p>
            <w:r>
              <w:t>Midtrans</w:t>
            </w:r>
          </w:p>
        </w:tc>
        <w:tc>
          <w:tcPr>
            <w:tcW w:type="dxa" w:w="2880"/>
          </w:tcPr>
          <w:p>
            <w:r>
              <w:t>MVP payment provider</w:t>
            </w:r>
          </w:p>
        </w:tc>
        <w:tc>
          <w:tcPr>
            <w:tcW w:type="dxa" w:w="2880"/>
          </w:tcPr>
          <w:p>
            <w:r>
              <w:t>CLOSED / GOVERNING — MADCR-058; behind Provider Adapter</w:t>
            </w:r>
          </w:p>
        </w:tc>
      </w:tr>
      <w:tr>
        <w:tc>
          <w:tcPr>
            <w:tcW w:type="dxa" w:w="2880"/>
          </w:tcPr>
          <w:p>
            <w:r>
              <w:t>AI provider set / BYOK</w:t>
            </w:r>
          </w:p>
        </w:tc>
        <w:tc>
          <w:tcPr>
            <w:tcW w:type="dxa" w:w="2880"/>
          </w:tcPr>
          <w:p>
            <w:r>
              <w:t>Third-party AI assistant</w:t>
            </w:r>
          </w:p>
        </w:tc>
        <w:tc>
          <w:tcPr>
            <w:tcW w:type="dxa" w:w="2880"/>
          </w:tcPr>
          <w:p>
            <w:r>
              <w:t>Approved/controlled by ADR-028; provider-specific credentials remain downstream</w:t>
            </w:r>
          </w:p>
        </w:tc>
      </w:tr>
    </w:tbl>
    <w:p>
      <w:r>
        <w:t>External provider/account/OAuth/quota/plan state is not inferred from package presence. Operational capability remains separately verified.</w:t>
      </w:r>
    </w:p>
    <w:p>
      <w:pPr>
        <w:pStyle w:val="Heading1"/>
      </w:pPr>
      <w:r>
        <w:t>6. MAPS DEPENDENCY — CURRENT</w:t>
      </w:r>
    </w:p>
    <w:p>
      <w:r>
        <w:t>UI / Listing Location</w:t>
      </w:r>
    </w:p>
    <w:p>
      <w:r>
        <w:t xml:space="preserve">      ↓</w:t>
      </w:r>
    </w:p>
    <w:p>
      <w:r>
        <w:t>Leaflet + React-Leaflet</w:t>
      </w:r>
    </w:p>
    <w:p>
      <w:r>
        <w:t xml:space="preserve">      ↓</w:t>
      </w:r>
    </w:p>
    <w:p>
      <w:r>
        <w:t>OpenStreetMap tiles</w:t>
      </w:r>
    </w:p>
    <w:p>
      <w:r>
        <w:t>Geocoding</w:t>
      </w:r>
    </w:p>
    <w:p>
      <w:r>
        <w:t xml:space="preserve">      ↓</w:t>
      </w:r>
    </w:p>
    <w:p>
      <w:r>
        <w:t>MapsProvider abstraction</w:t>
      </w:r>
    </w:p>
    <w:p>
      <w:r>
        <w:t xml:space="preserve">      ├── LocationIQ = Primary</w:t>
      </w:r>
    </w:p>
    <w:p>
      <w:r>
        <w:t xml:space="preserve">      └── Geoapify = Approved Alternative</w:t>
      </w:r>
    </w:p>
    <w:p>
      <w:r>
        <w:t>Future provider replacement</w:t>
      </w:r>
    </w:p>
    <w:p>
      <w:r>
        <w:t xml:space="preserve">      ↓</w:t>
      </w:r>
    </w:p>
    <w:p>
      <w:r>
        <w:t>same MapsProvider contract</w:t>
      </w:r>
    </w:p>
    <w:p>
      <w:r>
        <w:t>Leaflet + React-Leaflet + OpenStreetMap are the approved rendering baseline.</w:t>
      </w:r>
    </w:p>
    <w:p>
      <w:r>
        <w:t>LocationIQ is the Primary geocoding provider.</w:t>
      </w:r>
    </w:p>
    <w:p>
      <w:r>
        <w:t>Geoapify is the Approved Alternative Provider.</w:t>
      </w:r>
    </w:p>
    <w:p>
      <w:r>
        <w:t>MapsProvider abstraction is mandatory.</w:t>
      </w:r>
    </w:p>
    <w:p>
      <w:r>
        <w:t>Provider-specific package/provider choice must not leak into business authority.</w:t>
      </w:r>
    </w:p>
    <w:p>
      <w:r>
        <w:t>Environment secrets remain server-side.</w:t>
      </w:r>
    </w:p>
    <w:p>
      <w:r>
        <w:t>Legacy Google Maps candidate wording is historical/provenance and is not current dependency authority.</w:t>
      </w:r>
    </w:p>
    <w:p>
      <w:r>
        <w:t>ADR-008 v3 confirms the Leaflet/OSM/LocationIQ/Geoapify direction and the mandatory MapsProvider abstraction. fileciteturn29file2</w:t>
      </w:r>
    </w:p>
    <w:p>
      <w:pPr>
        <w:pStyle w:val="Heading1"/>
      </w:pPr>
      <w:r>
        <w:t>7. PAYMENT DEPENDENCY — CURRENT</w:t>
      </w:r>
    </w:p>
    <w:p>
      <w:r>
        <w:t>Commercial</w:t>
      </w:r>
    </w:p>
    <w:p>
      <w:r>
        <w:t xml:space="preserve">  ↓</w:t>
      </w:r>
    </w:p>
    <w:p>
      <w:r>
        <w:t>Payment Core</w:t>
      </w:r>
    </w:p>
    <w:p>
      <w:r>
        <w:t xml:space="preserve">  ↓</w:t>
      </w:r>
    </w:p>
    <w:p>
      <w:r>
        <w:t>Provider Adapter</w:t>
      </w:r>
    </w:p>
    <w:p>
      <w:r>
        <w:t xml:space="preserve">  ↓</w:t>
      </w:r>
    </w:p>
    <w:p>
      <w:r>
        <w:t>Midtrans MVP</w:t>
      </w:r>
    </w:p>
    <w:p>
      <w:r>
        <w:t xml:space="preserve">  ↓</w:t>
      </w:r>
    </w:p>
    <w:p>
      <w:r>
        <w:t>Verification / Idempotent Fulfillment</w:t>
      </w:r>
    </w:p>
    <w:p>
      <w:r>
        <w:t xml:space="preserve">  ↓</w:t>
      </w:r>
    </w:p>
    <w:p>
      <w:r>
        <w:t>Reconciliation</w:t>
      </w:r>
    </w:p>
    <w:p>
      <w:r>
        <w:t>Payment Core remains provider-independent.</w:t>
      </w:r>
    </w:p>
    <w:p>
      <w:r>
        <w:t>Midtrans is the selected MVP provider behind Provider Adapter.</w:t>
      </w:r>
    </w:p>
    <w:p>
      <w:r>
        <w:t>Provider replacement must not require redesign of Payment Core.</w:t>
      </w:r>
    </w:p>
    <w:p>
      <w:r>
        <w:t>Payment confirmation, fulfillment and reconciliation remain distinct dependencies.</w:t>
      </w:r>
    </w:p>
    <w:p>
      <w:r>
        <w:t>Payment provider credentials and webhook verification are server-side/downstream.</w:t>
      </w:r>
    </w:p>
    <w:p>
      <w:r>
        <w:t>MADCR-058 is CLOSED — Midtrans MVP behind Provider Adapter. This current state supersedes older OPEN/research wording. fileciteturn28file0</w:t>
      </w:r>
    </w:p>
    <w:p>
      <w:pPr>
        <w:pStyle w:val="Heading1"/>
      </w:pPr>
      <w:r>
        <w:t>8. LEARNING / SESSION / AWARDING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Learning Activity</w:t>
            </w:r>
          </w:p>
        </w:tc>
        <w:tc>
          <w:tcPr>
            <w:tcW w:type="dxa" w:w="4320"/>
          </w:tcPr>
          <w:p>
            <w:r>
              <w:t>Canonical completion/reward boundary</w:t>
            </w:r>
          </w:p>
        </w:tc>
      </w:tr>
      <w:tr>
        <w:tc>
          <w:tcPr>
            <w:tcW w:type="dxa" w:w="4320"/>
          </w:tcPr>
          <w:p>
            <w:r>
              <w:t>Learning Economy</w:t>
            </w:r>
          </w:p>
        </w:tc>
        <w:tc>
          <w:tcPr>
            <w:tcW w:type="dxa" w:w="4320"/>
          </w:tcPr>
          <w:p>
            <w:r>
              <w:t>Owns Learning Point transaction/reward processing</w:t>
            </w:r>
          </w:p>
        </w:tc>
      </w:tr>
      <w:tr>
        <w:tc>
          <w:tcPr>
            <w:tcW w:type="dxa" w:w="4320"/>
          </w:tcPr>
          <w:p>
            <w:r>
              <w:t>Learning Session</w:t>
            </w:r>
          </w:p>
        </w:tc>
        <w:tc>
          <w:tcPr>
            <w:tcW w:type="dxa" w:w="4320"/>
          </w:tcPr>
          <w:p>
            <w:r>
              <w:t>Produces qualifying completion evidence; does not directly manufacture LP</w:t>
            </w:r>
          </w:p>
        </w:tc>
      </w:tr>
      <w:tr>
        <w:tc>
          <w:tcPr>
            <w:tcW w:type="dxa" w:w="4320"/>
          </w:tcPr>
          <w:p>
            <w:r>
              <w:t>Provider Adapter</w:t>
            </w:r>
          </w:p>
        </w:tc>
        <w:tc>
          <w:tcPr>
            <w:tcW w:type="dxa" w:w="4320"/>
          </w:tcPr>
          <w:p>
            <w:r>
              <w:t>Normalizes external provider evidence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Evidence evaluated by RumahAgen, not blindly trusted from provider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Separate evidence/qualification boundary</w:t>
            </w:r>
          </w:p>
        </w:tc>
      </w:tr>
      <w:tr>
        <w:tc>
          <w:tcPr>
            <w:tcW w:type="dxa" w:w="4320"/>
          </w:tcPr>
          <w:p>
            <w:r>
              <w:t>Title Definition</w:t>
            </w:r>
          </w:p>
        </w:tc>
        <w:tc>
          <w:tcPr>
            <w:tcW w:type="dxa" w:w="4320"/>
          </w:tcPr>
          <w:p>
            <w:r>
              <w:t>Separate from Award Instance</w:t>
            </w:r>
          </w:p>
        </w:tc>
      </w:tr>
      <w:tr>
        <w:tc>
          <w:tcPr>
            <w:tcW w:type="dxa" w:w="4320"/>
          </w:tcPr>
          <w:p>
            <w:r>
              <w:t>Awarding Path / Rule</w:t>
            </w:r>
          </w:p>
        </w:tc>
        <w:tc>
          <w:tcPr>
            <w:tcW w:type="dxa" w:w="4320"/>
          </w:tcPr>
          <w:p>
            <w:r>
              <w:t>Versioned qualification/awarding dependency</w:t>
            </w:r>
          </w:p>
        </w:tc>
      </w:tr>
      <w:tr>
        <w:tc>
          <w:tcPr>
            <w:tcW w:type="dxa" w:w="4320"/>
          </w:tcPr>
          <w:p>
            <w:r>
              <w:t>Credential</w:t>
            </w:r>
          </w:p>
        </w:tc>
        <w:tc>
          <w:tcPr>
            <w:tcW w:type="dxa" w:w="4320"/>
          </w:tcPr>
          <w:p>
            <w:r>
              <w:t>Separate from Title/Award Instance</w:t>
            </w:r>
          </w:p>
        </w:tc>
      </w:tr>
    </w:tbl>
    <w:p>
      <w:r>
        <w:t>MADCR-049 Option A is current: Learning Activity is the completion/reward boundary.</w:t>
      </w:r>
    </w:p>
    <w:p>
      <w:r>
        <w:t>AEP4-OD-08 is closed: no automatic provider failover.</w:t>
      </w:r>
    </w:p>
    <w:p>
      <w:r>
        <w:t>AEP4-OD-16/17 establish Session enrollment/access lifecycle and PENDING → ACTIVE → COMPLETED.</w:t>
      </w:r>
    </w:p>
    <w:p>
      <w:r>
        <w:t>MADCR-053/054 establish Capability + Permission + Scope and separate Host/Instructor capabilities.</w:t>
      </w:r>
    </w:p>
    <w:p>
      <w:pPr>
        <w:pStyle w:val="Heading1"/>
      </w:pPr>
      <w:r>
        <w:t>9. DOCUMENT DEPENDENCY GRAPH</w:t>
      </w:r>
    </w:p>
    <w:p>
      <w:r>
        <w:t>Owner-approved decisions</w:t>
      </w:r>
    </w:p>
    <w:p>
      <w:r>
        <w:t xml:space="preserve">        ↓</w:t>
      </w:r>
    </w:p>
    <w:p>
      <w:r>
        <w:t>Master Business Rules</w:t>
      </w:r>
    </w:p>
    <w:p>
      <w:r>
        <w:t xml:space="preserve">        ↓</w:t>
      </w:r>
    </w:p>
    <w:p>
      <w:r>
        <w:t>Approved MADCR / ADR / closed OD</w:t>
      </w:r>
    </w:p>
    <w:p>
      <w:r>
        <w:t xml:space="preserve">        ↓</w:t>
      </w:r>
    </w:p>
    <w:p>
      <w:r>
        <w:t>Project Constitution</w:t>
      </w:r>
    </w:p>
    <w:p>
      <w:r>
        <w:t xml:space="preserve">        ↓</w:t>
      </w:r>
    </w:p>
    <w:p>
      <w:r>
        <w:t>Governance Register</w:t>
      </w:r>
    </w:p>
    <w:p>
      <w:r>
        <w:t xml:space="preserve">        ↓</w:t>
      </w:r>
    </w:p>
    <w:p>
      <w:r>
        <w:t>System Architecture</w:t>
      </w:r>
    </w:p>
    <w:p>
      <w:r>
        <w:t xml:space="preserve">        ↓</w:t>
      </w:r>
    </w:p>
    <w:p>
      <w:r>
        <w:t>Technical Decisions</w:t>
      </w:r>
    </w:p>
    <w:p>
      <w:r>
        <w:t xml:space="preserve">        ↓</w:t>
      </w:r>
    </w:p>
    <w:p>
      <w:r>
        <w:t>Dependency Manifest  ← THIS ARTIFACT</w:t>
      </w:r>
    </w:p>
    <w:p>
      <w:r>
        <w:t xml:space="preserve">        ↓</w:t>
      </w:r>
    </w:p>
    <w:p>
      <w:r>
        <w:t>Project Manifest / Current Project State</w:t>
      </w:r>
    </w:p>
    <w:p>
      <w:r>
        <w:t xml:space="preserve">        ↓</w:t>
      </w:r>
    </w:p>
    <w:p>
      <w:r>
        <w:t>Business Rules / PRD</w:t>
      </w:r>
    </w:p>
    <w:p>
      <w:r>
        <w:t xml:space="preserve">        ↓</w:t>
      </w:r>
    </w:p>
    <w:p>
      <w:r>
        <w:t>User Flow</w:t>
      </w:r>
    </w:p>
    <w:p>
      <w:r>
        <w:t xml:space="preserve">        ↓</w:t>
      </w:r>
    </w:p>
    <w:p>
      <w:r>
        <w:t>ERD</w:t>
      </w:r>
    </w:p>
    <w:p>
      <w:r>
        <w:t xml:space="preserve">        ↓</w:t>
      </w:r>
    </w:p>
    <w:p>
      <w:r>
        <w:t>Database Dictionary</w:t>
      </w:r>
    </w:p>
    <w:p>
      <w:r>
        <w:t xml:space="preserve">        ↓</w:t>
      </w:r>
    </w:p>
    <w:p>
      <w:r>
        <w:t>Database Schema</w:t>
      </w:r>
    </w:p>
    <w:p>
      <w:r>
        <w:t xml:space="preserve">        ↓</w:t>
      </w:r>
    </w:p>
    <w:p>
      <w:r>
        <w:t>API Specification</w:t>
      </w:r>
    </w:p>
    <w:p>
      <w:r>
        <w:t xml:space="preserve">        ↓</w:t>
      </w:r>
    </w:p>
    <w:p>
      <w:r>
        <w:t>RBAC / Permission / RLS</w:t>
      </w:r>
    </w:p>
    <w:p>
      <w:r>
        <w:t xml:space="preserve">        ↓</w:t>
      </w:r>
    </w:p>
    <w:p>
      <w:r>
        <w:t>Functional Specification</w:t>
      </w:r>
    </w:p>
    <w:p>
      <w:r>
        <w:t xml:space="preserve">        ↓</w:t>
      </w:r>
    </w:p>
    <w:p>
      <w:r>
        <w:t>Technical Specification</w:t>
      </w:r>
    </w:p>
    <w:p>
      <w:r>
        <w:t xml:space="preserve">        ↓</w:t>
      </w:r>
    </w:p>
    <w:p>
      <w:r>
        <w:t>UI / UX</w:t>
      </w:r>
    </w:p>
    <w:p>
      <w:r>
        <w:t xml:space="preserve">        ↓</w:t>
      </w:r>
    </w:p>
    <w:p>
      <w:r>
        <w:t>SEO / Analytics</w:t>
      </w:r>
    </w:p>
    <w:p>
      <w:r>
        <w:t xml:space="preserve">        ↓</w:t>
      </w:r>
    </w:p>
    <w:p>
      <w:r>
        <w:t>Module Dependency Matrix</w:t>
      </w:r>
    </w:p>
    <w:p>
      <w:r>
        <w:t xml:space="preserve">        ↓</w:t>
      </w:r>
    </w:p>
    <w:p>
      <w:r>
        <w:t>Module Implementation Strategy</w:t>
      </w:r>
    </w:p>
    <w:p>
      <w:r>
        <w:t xml:space="preserve">        ↓</w:t>
      </w:r>
    </w:p>
    <w:p>
      <w:r>
        <w:t>Revised Module Planning</w:t>
      </w:r>
    </w:p>
    <w:p>
      <w:r>
        <w:t xml:space="preserve">        ↓</w:t>
      </w:r>
    </w:p>
    <w:p>
      <w:r>
        <w:t>Execution Specification / Packs</w:t>
      </w:r>
    </w:p>
    <w:p>
      <w:r>
        <w:t>This is a dependency-gated ordering map, not a claim that every downstream artifact is finalized at this step. The locked W4-02A.6 Base Track governs actual step ordering. fileciteturn28file2</w:t>
      </w:r>
    </w:p>
    <w:p>
      <w:pPr>
        <w:pStyle w:val="Heading1"/>
      </w:pPr>
      <w:r>
        <w:t>10. AI / DEVELOPER READING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Current Project Manifest / current-state inventory when available</w:t>
            </w:r>
          </w:p>
        </w:tc>
        <w:tc>
          <w:tcPr>
            <w:tcW w:type="dxa" w:w="2880"/>
          </w:tcPr>
          <w:p>
            <w:r>
              <w:t>Overall status/context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Project Constitution v1.17</w:t>
            </w:r>
          </w:p>
        </w:tc>
        <w:tc>
          <w:tcPr>
            <w:tcW w:type="dxa" w:w="2880"/>
          </w:tcPr>
          <w:p>
            <w:r>
              <w:t>Governance / engineering authority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Decision Log v1.0</w:t>
            </w:r>
          </w:p>
        </w:tc>
        <w:tc>
          <w:tcPr>
            <w:tcW w:type="dxa" w:w="2880"/>
          </w:tcPr>
          <w:p>
            <w:r>
              <w:t>Decision chronology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System Architecture v1.9</w:t>
            </w:r>
          </w:p>
        </w:tc>
        <w:tc>
          <w:tcPr>
            <w:tcW w:type="dxa" w:w="2880"/>
          </w:tcPr>
          <w:p>
            <w:r>
              <w:t>Current architecture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Technical Decisions v1.6</w:t>
            </w:r>
          </w:p>
        </w:tc>
        <w:tc>
          <w:tcPr>
            <w:tcW w:type="dxa" w:w="2880"/>
          </w:tcPr>
          <w:p>
            <w:r>
              <w:t>Technology consequence baseline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Dependency Manifest v1.9</w:t>
            </w:r>
          </w:p>
        </w:tc>
        <w:tc>
          <w:tcPr>
            <w:tcW w:type="dxa" w:w="2880"/>
          </w:tcPr>
          <w:p>
            <w:r>
              <w:t>Package/tool/document dependency graph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Business Rules / PRD / User Flow</w:t>
            </w:r>
          </w:p>
        </w:tc>
        <w:tc>
          <w:tcPr>
            <w:tcW w:type="dxa" w:w="2880"/>
          </w:tcPr>
          <w:p>
            <w:r>
              <w:t>Normative product/business behavior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ERD / Dictionary / Schema / API / RBAC</w:t>
            </w:r>
          </w:p>
        </w:tc>
        <w:tc>
          <w:tcPr>
            <w:tcW w:type="dxa" w:w="2880"/>
          </w:tcPr>
          <w:p>
            <w:r>
              <w:t>Downstream contracts</w:t>
            </w:r>
          </w:p>
        </w:tc>
      </w:tr>
    </w:tbl>
    <w:p>
      <w:r>
        <w:t>AI/Bolt must not infer current authority from an old dependency manifest or package list. It must consume the current canonical chain.</w:t>
      </w:r>
    </w:p>
    <w:p>
      <w:pPr>
        <w:pStyle w:val="Heading1"/>
      </w:pPr>
      <w:r>
        <w:t>11. INSTALLATION PRIORITY / EXECUTION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Next.js / React / TypeScript foundation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Supabase client/SSR + Auth/Data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UI foundation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State/query/forms/validation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Email/monitoring/storage/maps/other integrations as contracted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Vitest/RTL/Playwright</w:t>
            </w:r>
          </w:p>
        </w:tc>
        <w:tc>
          <w:tcPr>
            <w:tcW w:type="dxa" w:w="2880"/>
          </w:tcPr>
          <w:p>
            <w:r>
              <w:t>Downstream execution only</w:t>
            </w:r>
          </w:p>
        </w:tc>
      </w:tr>
    </w:tbl>
    <w:p>
      <w:r>
        <w:t>Dependency Manifest does not claim that any package is installed. Current repository/package-lock state must be established by downstream execution evidence.</w:t>
      </w:r>
    </w:p>
    <w:p>
      <w:pPr>
        <w:pStyle w:val="Heading1"/>
      </w:pPr>
      <w:r>
        <w:t>12. ARCHITECTURE CONSTRAINTS / PROHIBITED DEPENDENCIES</w:t>
      </w:r>
    </w:p>
    <w:p>
      <w:r>
        <w:t>Do not add a separate Node.js backend service without a superseding ADR.</w:t>
      </w:r>
    </w:p>
    <w:p>
      <w:r>
        <w:t>Redux is not part of the approved stack.</w:t>
      </w:r>
    </w:p>
    <w:p>
      <w:r>
        <w:t>MUI is not part of the approved UI stack.</w:t>
      </w:r>
    </w:p>
    <w:p>
      <w:r>
        <w:t>Ant Design is not part of the approved UI stack.</w:t>
      </w:r>
    </w:p>
    <w:p>
      <w:r>
        <w:t>Formik is not part of the approved form stack.</w:t>
      </w:r>
    </w:p>
    <w:p>
      <w:r>
        <w:t>SWR is not part of the approved server-state stack where the current baseline uses TanStack Query.</w:t>
      </w:r>
    </w:p>
    <w:p>
      <w:r>
        <w:t>Moment.js is prohibited; use date-fns.</w:t>
      </w:r>
    </w:p>
    <w:p>
      <w:r>
        <w:t>react-beautiful-dnd is prohibited/deprecated; use dnd-kit.</w:t>
      </w:r>
    </w:p>
    <w:p>
      <w:r>
        <w:t>Axios is not part of the approved HTTP dependency baseline; follow the established fetch/Route Handler architecture.</w:t>
      </w:r>
    </w:p>
    <w:p>
      <w:r>
        <w:t>Do not add a second chart library where Recharts satisfies the requirement.</w:t>
      </w:r>
    </w:p>
    <w:p>
      <w:r>
        <w:t>Do not add a second table library where TanStack Table satisfies the requirement.</w:t>
      </w:r>
    </w:p>
    <w:p>
      <w:r>
        <w:t>Do not introduce a new cache/queue/provider merely from coding preference.</w:t>
      </w:r>
    </w:p>
    <w:p>
      <w:r>
        <w:t>These constraints are derived from the approved Technology Decisions / System Architecture baseline. fileciteturn32file0</w:t>
      </w:r>
    </w:p>
    <w:p>
      <w:pPr>
        <w:pStyle w:val="Heading1"/>
      </w:pPr>
      <w:r>
        <w:t>13. DOCUMENT CHANGE CONTROL</w:t>
      </w:r>
    </w:p>
    <w:p>
      <w:r>
        <w:t>Dependency need</w:t>
      </w:r>
    </w:p>
    <w:p>
      <w:r>
        <w:t xml:space="preserve">      ↓</w:t>
      </w:r>
    </w:p>
    <w:p>
      <w:r>
        <w:t>Identify governing capability</w:t>
      </w:r>
    </w:p>
    <w:p>
      <w:r>
        <w:t xml:space="preserve">      ↓</w:t>
      </w:r>
    </w:p>
    <w:p>
      <w:r>
        <w:t>Check ADR / MADCR / MAEP / BR</w:t>
      </w:r>
    </w:p>
    <w:p>
      <w:r>
        <w:t xml:space="preserve">      ↓</w:t>
      </w:r>
    </w:p>
    <w:p>
      <w:r>
        <w:t>Impact analysis</w:t>
      </w:r>
    </w:p>
    <w:p>
      <w:r>
        <w:t xml:space="preserve">      ↓</w:t>
      </w:r>
    </w:p>
    <w:p>
      <w:r>
        <w:t>Technical decision if required</w:t>
      </w:r>
    </w:p>
    <w:p>
      <w:r>
        <w:t xml:space="preserve">      ↓</w:t>
      </w:r>
    </w:p>
    <w:p>
      <w:r>
        <w:t>Update Technical Decisions</w:t>
      </w:r>
    </w:p>
    <w:p>
      <w:r>
        <w:t xml:space="preserve">      ↓</w:t>
      </w:r>
    </w:p>
    <w:p>
      <w:r>
        <w:t>Update Dependency Manifest</w:t>
      </w:r>
    </w:p>
    <w:p>
      <w:r>
        <w:t xml:space="preserve">      ↓</w:t>
      </w:r>
    </w:p>
    <w:p>
      <w:r>
        <w:t>Update affected downstream artifacts</w:t>
      </w:r>
    </w:p>
    <w:p>
      <w:r>
        <w:t xml:space="preserve">      ↓</w:t>
      </w:r>
    </w:p>
    <w:p>
      <w:r>
        <w:t>Post-edit reconciliation</w:t>
      </w:r>
    </w:p>
    <w:p>
      <w:r>
        <w:t>No dependency is added directly from a coding-session preference.</w:t>
      </w:r>
    </w:p>
    <w:p>
      <w:r>
        <w:t>A new package requires a governing technical rationale or approved dependency consequence.</w:t>
      </w:r>
    </w:p>
    <w:p>
      <w:r>
        <w:t>Removing/replacing a dependency must preserve affected architecture and contract boundaries.</w:t>
      </w:r>
    </w:p>
    <w:p>
      <w:r>
        <w:t>Package installation remains separate from dependency approval.</w:t>
      </w:r>
    </w:p>
    <w:p>
      <w:pPr>
        <w:pStyle w:val="Heading1"/>
      </w:pPr>
      <w:r>
        <w:t>14. VERSION / BASELINE RULE</w:t>
      </w:r>
    </w:p>
    <w:p>
      <w:r>
        <w:t>Formal Document Version</w:t>
      </w:r>
    </w:p>
    <w:p>
      <w:r>
        <w:t xml:space="preserve">        ≠</w:t>
      </w:r>
    </w:p>
    <w:p>
      <w:r>
        <w:t>Synchronization Revision</w:t>
      </w:r>
    </w:p>
    <w:p>
      <w:r>
        <w:t xml:space="preserve">        ≠</w:t>
      </w:r>
    </w:p>
    <w:p>
      <w:r>
        <w:t>Baseline Status</w:t>
      </w:r>
    </w:p>
    <w:p>
      <w:r>
        <w:t xml:space="preserve">        ≠</w:t>
      </w:r>
    </w:p>
    <w:p>
      <w:r>
        <w:t>Implementation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Formal version</w:t>
            </w:r>
          </w:p>
        </w:tc>
        <w:tc>
          <w:tcPr>
            <w:tcW w:type="dxa" w:w="4320"/>
          </w:tcPr>
          <w:p>
            <w:r>
              <w:t>v1.9</w:t>
            </w:r>
          </w:p>
        </w:tc>
      </w:tr>
      <w:tr>
        <w:tc>
          <w:tcPr>
            <w:tcW w:type="dxa" w:w="4320"/>
          </w:tcPr>
          <w:p>
            <w:r>
              <w:t>Synchronization</w:t>
            </w:r>
          </w:p>
        </w:tc>
        <w:tc>
          <w:tcPr>
            <w:tcW w:type="dxa" w:w="4320"/>
          </w:tcPr>
          <w:p>
            <w:r>
              <w:t>W4-02A.6.7</w:t>
            </w:r>
          </w:p>
        </w:tc>
      </w:tr>
      <w:tr>
        <w:tc>
          <w:tcPr>
            <w:tcW w:type="dxa" w:w="4320"/>
          </w:tcPr>
          <w:p>
            <w:r>
              <w:t>Baseline status</w:t>
            </w:r>
          </w:p>
        </w:tc>
        <w:tc>
          <w:tcPr>
            <w:tcW w:type="dxa" w:w="4320"/>
          </w:tcPr>
          <w:p>
            <w:r>
              <w:t>CURRENT CANONICAL — PASS</w:t>
            </w:r>
          </w:p>
        </w:tc>
      </w:tr>
      <w:tr>
        <w:tc>
          <w:tcPr>
            <w:tcW w:type="dxa" w:w="4320"/>
          </w:tcPr>
          <w:p>
            <w:r>
              <w:t>Implementation state</w:t>
            </w:r>
          </w:p>
        </w:tc>
        <w:tc>
          <w:tcPr>
            <w:tcW w:type="dxa" w:w="4320"/>
          </w:tcPr>
          <w:p>
            <w:r>
              <w:t>Downstream / separately verified</w:t>
            </w:r>
          </w:p>
        </w:tc>
      </w:tr>
      <w:tr>
        <w:tc>
          <w:tcPr>
            <w:tcW w:type="dxa" w:w="4320"/>
          </w:tcPr>
          <w:p>
            <w:r>
              <w:t>Runtime state</w:t>
            </w:r>
          </w:p>
        </w:tc>
        <w:tc>
          <w:tcPr>
            <w:tcW w:type="dxa" w:w="4320"/>
          </w:tcPr>
          <w:p>
            <w:r>
              <w:t>Not asserted</w:t>
            </w:r>
          </w:p>
        </w:tc>
      </w:tr>
    </w:tbl>
    <w:p>
      <w:pPr>
        <w:pStyle w:val="Heading1"/>
      </w:pPr>
      <w:r>
        <w:t>15. CURRENT DEPENDENCY CONSEQUENCES FROM W4-02A.6</w:t>
      </w:r>
    </w:p>
    <w:p>
      <w:r>
        <w:t>STEP09-D synchronizes dependency semantics and the technology/package catalogue from the current Constitution v1.17, Architecture v1.9 and Technical Decisions v1.6 synchronized state. The manifest does not create new architecture decisions and does not authorize implementation.</w:t>
      </w:r>
    </w:p>
    <w:p>
      <w:pPr>
        <w:pStyle w:val="Heading1"/>
      </w:pPr>
      <w:r>
        <w:t>15.1 CURRENT M01–M15 DEPENDENCY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M01</w:t>
            </w:r>
          </w:p>
        </w:tc>
        <w:tc>
          <w:tcPr>
            <w:tcW w:type="dxa" w:w="1440"/>
          </w:tcPr>
          <w:p>
            <w:r>
              <w:t>Identity / Account / Authentication</w:t>
            </w:r>
          </w:p>
        </w:tc>
        <w:tc>
          <w:tcPr>
            <w:tcW w:type="dxa" w:w="1440"/>
          </w:tcPr>
          <w:p>
            <w:r>
              <w:t>M01 owns identity; consumers use authenticated subject</w:t>
            </w:r>
          </w:p>
        </w:tc>
        <w:tc>
          <w:tcPr>
            <w:tcW w:type="dxa" w:w="1440"/>
          </w:tcPr>
          <w:p>
            <w:r>
              <w:t>M10 authorization; M02–M15 actor context</w:t>
            </w:r>
          </w:p>
        </w:tc>
        <w:tc>
          <w:tcPr>
            <w:tcW w:type="dxa" w:w="1440"/>
          </w:tcPr>
          <w:p>
            <w:r>
              <w:t>M02,M03,M04,M05,M06,M08,M10,M12,M13,M14,M15</w:t>
            </w:r>
          </w:p>
        </w:tc>
        <w:tc>
          <w:tcPr>
            <w:tcW w:type="dxa" w:w="1440"/>
          </w:tcPr>
          <w:p>
            <w:r>
              <w:t>HARD / IDENTITY</w:t>
            </w:r>
          </w:p>
        </w:tc>
      </w:tr>
      <w:tr>
        <w:tc>
          <w:tcPr>
            <w:tcW w:type="dxa" w:w="1440"/>
          </w:tcPr>
          <w:p>
            <w:r>
              <w:t>M02</w:t>
            </w:r>
          </w:p>
        </w:tc>
        <w:tc>
          <w:tcPr>
            <w:tcW w:type="dxa" w:w="1440"/>
          </w:tcPr>
          <w:p>
            <w:r>
              <w:t>Agent Profile / Reviews</w:t>
            </w:r>
          </w:p>
        </w:tc>
        <w:tc>
          <w:tcPr>
            <w:tcW w:type="dxa" w:w="1440"/>
          </w:tcPr>
          <w:p>
            <w:r>
              <w:t>M02 owns profile/visibility/reviews</w:t>
            </w:r>
          </w:p>
        </w:tc>
        <w:tc>
          <w:tcPr>
            <w:tcW w:type="dxa" w:w="1440"/>
          </w:tcPr>
          <w:p>
            <w:r>
              <w:t>M01 identity; M10 authorization</w:t>
            </w:r>
          </w:p>
        </w:tc>
        <w:tc>
          <w:tcPr>
            <w:tcW w:type="dxa" w:w="1440"/>
          </w:tcPr>
          <w:p>
            <w:r>
              <w:t>M03,M08,M11,M15</w:t>
            </w:r>
          </w:p>
        </w:tc>
        <w:tc>
          <w:tcPr>
            <w:tcW w:type="dxa" w:w="1440"/>
          </w:tcPr>
          <w:p>
            <w:r>
              <w:t>HARD + OBSERVATIONAL; explicit M02→M03 profile/contact dependency</w:t>
            </w:r>
          </w:p>
        </w:tc>
      </w:tr>
      <w:tr>
        <w:tc>
          <w:tcPr>
            <w:tcW w:type="dxa" w:w="1440"/>
          </w:tcPr>
          <w:p>
            <w:r>
              <w:t>M03</w:t>
            </w:r>
          </w:p>
        </w:tc>
        <w:tc>
          <w:tcPr>
            <w:tcW w:type="dxa" w:w="1440"/>
          </w:tcPr>
          <w:p>
            <w:r>
              <w:t>Listing / Refresh / Listing Search</w:t>
            </w:r>
          </w:p>
        </w:tc>
        <w:tc>
          <w:tcPr>
            <w:tcW w:type="dxa" w:w="1440"/>
          </w:tcPr>
          <w:p>
            <w:r>
              <w:t>M03 owns Listing lifecycle and Refresh action</w:t>
            </w:r>
          </w:p>
        </w:tc>
        <w:tc>
          <w:tcPr>
            <w:tcW w:type="dxa" w:w="1440"/>
          </w:tcPr>
          <w:p>
            <w:r>
              <w:t>M01,M10; M12 org context; M14 quota/entitlement input; M06 project context</w:t>
            </w:r>
          </w:p>
        </w:tc>
        <w:tc>
          <w:tcPr>
            <w:tcW w:type="dxa" w:w="1440"/>
          </w:tcPr>
          <w:p>
            <w:r>
              <w:t>M11 discovery; M08 projection</w:t>
            </w:r>
          </w:p>
        </w:tc>
        <w:tc>
          <w:tcPr>
            <w:tcW w:type="dxa" w:w="1440"/>
          </w:tcPr>
          <w:p>
            <w:r>
              <w:t>HARD + CONDITIONAL</w:t>
            </w:r>
          </w:p>
        </w:tc>
      </w:tr>
      <w:tr>
        <w:tc>
          <w:tcPr>
            <w:tcW w:type="dxa" w:w="1440"/>
          </w:tcPr>
          <w:p>
            <w:r>
              <w:t>M04</w:t>
            </w:r>
          </w:p>
        </w:tc>
        <w:tc>
          <w:tcPr>
            <w:tcW w:type="dxa" w:w="1440"/>
          </w:tcPr>
          <w:p>
            <w:r>
              <w:t>Learning / Economy / Session</w:t>
            </w:r>
          </w:p>
        </w:tc>
        <w:tc>
          <w:tcPr>
            <w:tcW w:type="dxa" w:w="1440"/>
          </w:tcPr>
          <w:p>
            <w:r>
              <w:t>M04 owns Learning, Activity, LP learning-side semantics, Session</w:t>
            </w:r>
          </w:p>
        </w:tc>
        <w:tc>
          <w:tcPr>
            <w:tcW w:type="dxa" w:w="1440"/>
          </w:tcPr>
          <w:p>
            <w:r>
              <w:t>M01,M10; M12 org context; M14 commercial inputs; M05 event relation; M09 config</w:t>
            </w:r>
          </w:p>
        </w:tc>
        <w:tc>
          <w:tcPr>
            <w:tcW w:type="dxa" w:w="1440"/>
          </w:tcPr>
          <w:p>
            <w:r>
              <w:t>M15 evidence; M02,M08,M11 projections</w:t>
            </w:r>
          </w:p>
        </w:tc>
        <w:tc>
          <w:tcPr>
            <w:tcW w:type="dxa" w:w="1440"/>
          </w:tcPr>
          <w:p>
            <w:r>
              <w:t>HARD + CONDITIONAL; explicit M04→M02 and M04→M12/M05 relations</w:t>
            </w:r>
          </w:p>
        </w:tc>
      </w:tr>
      <w:tr>
        <w:tc>
          <w:tcPr>
            <w:tcW w:type="dxa" w:w="1440"/>
          </w:tcPr>
          <w:p>
            <w:r>
              <w:t>M05</w:t>
            </w:r>
          </w:p>
        </w:tc>
        <w:tc>
          <w:tcPr>
            <w:tcW w:type="dxa" w:w="1440"/>
          </w:tcPr>
          <w:p>
            <w:r>
              <w:t>Event / Calendar / Registration</w:t>
            </w:r>
          </w:p>
        </w:tc>
        <w:tc>
          <w:tcPr>
            <w:tcW w:type="dxa" w:w="1440"/>
          </w:tcPr>
          <w:p>
            <w:r>
              <w:t>M05 owns Event lifecycle and Registration</w:t>
            </w:r>
          </w:p>
        </w:tc>
        <w:tc>
          <w:tcPr>
            <w:tcW w:type="dxa" w:w="1440"/>
          </w:tcPr>
          <w:p>
            <w:r>
              <w:t>M01,M10; M06/M04 contextual relationships</w:t>
            </w:r>
          </w:p>
        </w:tc>
        <w:tc>
          <w:tcPr>
            <w:tcW w:type="dxa" w:w="1440"/>
          </w:tcPr>
          <w:p>
            <w:r>
              <w:t>M08,M11 projection/discovery</w:t>
            </w:r>
          </w:p>
        </w:tc>
        <w:tc>
          <w:tcPr>
            <w:tcW w:type="dxa" w:w="1440"/>
          </w:tcPr>
          <w:p>
            <w:r>
              <w:t>HARD + CONDITIONAL</w:t>
            </w:r>
          </w:p>
        </w:tc>
      </w:tr>
      <w:tr>
        <w:tc>
          <w:tcPr>
            <w:tcW w:type="dxa" w:w="1440"/>
          </w:tcPr>
          <w:p>
            <w:r>
              <w:t>M06</w:t>
            </w:r>
          </w:p>
        </w:tc>
        <w:tc>
          <w:tcPr>
            <w:tcW w:type="dxa" w:w="1440"/>
          </w:tcPr>
          <w:p>
            <w:r>
              <w:t>Developer / Project / Claim / Marketing Kit</w:t>
            </w:r>
          </w:p>
        </w:tc>
        <w:tc>
          <w:tcPr>
            <w:tcW w:type="dxa" w:w="1440"/>
          </w:tcPr>
          <w:p>
            <w:r>
              <w:t>M06 owns Developer/Project/Claim/Marketing Kit semantics</w:t>
            </w:r>
          </w:p>
        </w:tc>
        <w:tc>
          <w:tcPr>
            <w:tcW w:type="dxa" w:w="1440"/>
          </w:tcPr>
          <w:p>
            <w:r>
              <w:t>M01,M10; M09 moderation; M03 listing-compatible project relation</w:t>
            </w:r>
          </w:p>
        </w:tc>
        <w:tc>
          <w:tcPr>
            <w:tcW w:type="dxa" w:w="1440"/>
          </w:tcPr>
          <w:p>
            <w:r>
              <w:t>M11 public discovery; M05 event context</w:t>
            </w:r>
          </w:p>
        </w:tc>
        <w:tc>
          <w:tcPr>
            <w:tcW w:type="dxa" w:w="1440"/>
          </w:tcPr>
          <w:p>
            <w:r>
              <w:t>HARD + CONDITIONAL</w:t>
            </w:r>
          </w:p>
        </w:tc>
      </w:tr>
      <w:tr>
        <w:tc>
          <w:tcPr>
            <w:tcW w:type="dxa" w:w="1440"/>
          </w:tcPr>
          <w:p>
            <w:r>
              <w:t>M07</w:t>
            </w:r>
          </w:p>
        </w:tc>
        <w:tc>
          <w:tcPr>
            <w:tcW w:type="dxa" w:w="1440"/>
          </w:tcPr>
          <w:p>
            <w:r>
              <w:t>DBR / Configuration-aligned scoring</w:t>
            </w:r>
          </w:p>
        </w:tc>
        <w:tc>
          <w:tcPr>
            <w:tcW w:type="dxa" w:w="1440"/>
          </w:tcPr>
          <w:p>
            <w:r>
              <w:t>M07 owns DBR semantic calculation/result</w:t>
            </w:r>
          </w:p>
        </w:tc>
        <w:tc>
          <w:tcPr>
            <w:tcW w:type="dxa" w:w="1440"/>
          </w:tcPr>
          <w:p>
            <w:r>
              <w:t>M01,M10; M09 configuration surface</w:t>
            </w:r>
          </w:p>
        </w:tc>
        <w:tc>
          <w:tcPr>
            <w:tcW w:type="dxa" w:w="1440"/>
          </w:tcPr>
          <w:p>
            <w:r>
              <w:t>M08 projection</w:t>
            </w:r>
          </w:p>
        </w:tc>
        <w:tc>
          <w:tcPr>
            <w:tcW w:type="dxa" w:w="1440"/>
          </w:tcPr>
          <w:p>
            <w:r>
              <w:t>HARD + CONFIGURATION</w:t>
            </w:r>
          </w:p>
        </w:tc>
      </w:tr>
      <w:tr>
        <w:tc>
          <w:tcPr>
            <w:tcW w:type="dxa" w:w="1440"/>
          </w:tcPr>
          <w:p>
            <w:r>
              <w:t>M08</w:t>
            </w:r>
          </w:p>
        </w:tc>
        <w:tc>
          <w:tcPr>
            <w:tcW w:type="dxa" w:w="1440"/>
          </w:tcPr>
          <w:p>
            <w:r>
              <w:t>Dashboard Projection / Notification State</w:t>
            </w:r>
          </w:p>
        </w:tc>
        <w:tc>
          <w:tcPr>
            <w:tcW w:type="dxa" w:w="1440"/>
          </w:tcPr>
          <w:p>
            <w:r>
              <w:t>M08 owns projection/communication state only</w:t>
            </w:r>
          </w:p>
        </w:tc>
        <w:tc>
          <w:tcPr>
            <w:tcW w:type="dxa" w:w="1440"/>
          </w:tcPr>
          <w:p>
            <w:r>
              <w:t>Source-domain contracts; M10 access</w:t>
            </w:r>
          </w:p>
        </w:tc>
        <w:tc>
          <w:tcPr>
            <w:tcW w:type="dxa" w:w="1440"/>
          </w:tcPr>
          <w:p>
            <w:r>
              <w:t>All relevant domains as producers</w:t>
            </w:r>
          </w:p>
        </w:tc>
        <w:tc>
          <w:tcPr>
            <w:tcW w:type="dxa" w:w="1440"/>
          </w:tcPr>
          <w:p>
            <w:r>
              <w:t>OBSERVATIONAL / PROJECTION</w:t>
            </w:r>
          </w:p>
        </w:tc>
      </w:tr>
      <w:tr>
        <w:tc>
          <w:tcPr>
            <w:tcW w:type="dxa" w:w="1440"/>
          </w:tcPr>
          <w:p>
            <w:r>
              <w:t>M09</w:t>
            </w:r>
          </w:p>
        </w:tc>
        <w:tc>
          <w:tcPr>
            <w:tcW w:type="dxa" w:w="1440"/>
          </w:tcPr>
          <w:p>
            <w:r>
              <w:t>Administration / Configuration / Audit / Export</w:t>
            </w:r>
          </w:p>
        </w:tc>
        <w:tc>
          <w:tcPr>
            <w:tcW w:type="dxa" w:w="1440"/>
          </w:tcPr>
          <w:p>
            <w:r>
              <w:t>M09 owns admin control-surface semantics</w:t>
            </w:r>
          </w:p>
        </w:tc>
        <w:tc>
          <w:tcPr>
            <w:tcW w:type="dxa" w:w="1440"/>
          </w:tcPr>
          <w:p>
            <w:r>
              <w:t>M01,M10; domain-specific target contracts</w:t>
            </w:r>
          </w:p>
        </w:tc>
        <w:tc>
          <w:tcPr>
            <w:tcW w:type="dxa" w:w="1440"/>
          </w:tcPr>
          <w:p>
            <w:r>
              <w:t>All governed modules</w:t>
            </w:r>
          </w:p>
        </w:tc>
        <w:tc>
          <w:tcPr>
            <w:tcW w:type="dxa" w:w="1440"/>
          </w:tcPr>
          <w:p>
            <w:r>
              <w:t>CONFIGURATION / ADMIN</w:t>
            </w:r>
          </w:p>
        </w:tc>
      </w:tr>
      <w:tr>
        <w:tc>
          <w:tcPr>
            <w:tcW w:type="dxa" w:w="1440"/>
          </w:tcPr>
          <w:p>
            <w:r>
              <w:t>M10</w:t>
            </w:r>
          </w:p>
        </w:tc>
        <w:tc>
          <w:tcPr>
            <w:tcW w:type="dxa" w:w="1440"/>
          </w:tcPr>
          <w:p>
            <w:r>
              <w:t>Role / Permission / Scope / Condition / Ownership / Organization / RLS</w:t>
            </w:r>
          </w:p>
        </w:tc>
        <w:tc>
          <w:tcPr>
            <w:tcW w:type="dxa" w:w="1440"/>
          </w:tcPr>
          <w:p>
            <w:r>
              <w:t>M10 owns authorization resolution</w:t>
            </w:r>
          </w:p>
        </w:tc>
        <w:tc>
          <w:tcPr>
            <w:tcW w:type="dxa" w:w="1440"/>
          </w:tcPr>
          <w:p>
            <w:r>
              <w:t>M01 identity; resource/capability contracts</w:t>
            </w:r>
          </w:p>
        </w:tc>
        <w:tc>
          <w:tcPr>
            <w:tcW w:type="dxa" w:w="1440"/>
          </w:tcPr>
          <w:p>
            <w:r>
              <w:t>All protected modules</w:t>
            </w:r>
          </w:p>
        </w:tc>
        <w:tc>
          <w:tcPr>
            <w:tcW w:type="dxa" w:w="1440"/>
          </w:tcPr>
          <w:p>
            <w:r>
              <w:t>HARD — AUTHORIZATION</w:t>
            </w:r>
          </w:p>
        </w:tc>
      </w:tr>
      <w:tr>
        <w:tc>
          <w:tcPr>
            <w:tcW w:type="dxa" w:w="1440"/>
          </w:tcPr>
          <w:p>
            <w:r>
              <w:t>M11</w:t>
            </w:r>
          </w:p>
        </w:tc>
        <w:tc>
          <w:tcPr>
            <w:tcW w:type="dxa" w:w="1440"/>
          </w:tcPr>
          <w:p>
            <w:r>
              <w:t>Public Discovery / SEO / Tracking / Measurement</w:t>
            </w:r>
          </w:p>
        </w:tc>
        <w:tc>
          <w:tcPr>
            <w:tcW w:type="dxa" w:w="1440"/>
          </w:tcPr>
          <w:p>
            <w:r>
              <w:t>M11 owns discovery/measurement semantics</w:t>
            </w:r>
          </w:p>
        </w:tc>
        <w:tc>
          <w:tcPr>
            <w:tcW w:type="dxa" w:w="1440"/>
          </w:tcPr>
          <w:p>
            <w:r>
              <w:t>Public resource contracts from M02,M03,M04,M05,M06,M12,M15</w:t>
            </w:r>
          </w:p>
        </w:tc>
        <w:tc>
          <w:tcPr>
            <w:tcW w:type="dxa" w:w="1440"/>
          </w:tcPr>
          <w:p>
            <w:r>
              <w:t>M08 reporting/projection</w:t>
            </w:r>
          </w:p>
        </w:tc>
        <w:tc>
          <w:tcPr>
            <w:tcW w:type="dxa" w:w="1440"/>
          </w:tcPr>
          <w:p>
            <w:r>
              <w:t>OBSERVATIONAL / PUBLIC</w:t>
            </w:r>
          </w:p>
        </w:tc>
      </w:tr>
      <w:tr>
        <w:tc>
          <w:tcPr>
            <w:tcW w:type="dxa" w:w="1440"/>
          </w:tcPr>
          <w:p>
            <w:r>
              <w:t>M12</w:t>
            </w:r>
          </w:p>
        </w:tc>
        <w:tc>
          <w:tcPr>
            <w:tcW w:type="dxa" w:w="1440"/>
          </w:tcPr>
          <w:p>
            <w:r>
              <w:t>Organization / Membership / Context</w:t>
            </w:r>
          </w:p>
        </w:tc>
        <w:tc>
          <w:tcPr>
            <w:tcW w:type="dxa" w:w="1440"/>
          </w:tcPr>
          <w:p>
            <w:r>
              <w:t>M12 owns org/membership/context</w:t>
            </w:r>
          </w:p>
        </w:tc>
        <w:tc>
          <w:tcPr>
            <w:tcW w:type="dxa" w:w="1440"/>
          </w:tcPr>
          <w:p>
            <w:r>
              <w:t>M01,M10; M03,M04,M14,M15 contexts</w:t>
            </w:r>
          </w:p>
        </w:tc>
        <w:tc>
          <w:tcPr>
            <w:tcW w:type="dxa" w:w="1440"/>
          </w:tcPr>
          <w:p>
            <w:r>
              <w:t>M03,M04,M14,M15,M08</w:t>
            </w:r>
          </w:p>
        </w:tc>
        <w:tc>
          <w:tcPr>
            <w:tcW w:type="dxa" w:w="1440"/>
          </w:tcPr>
          <w:p>
            <w:r>
              <w:t>HARD + CONDITIONAL; bidirectional contextual contracts retained where evidenced</w:t>
            </w:r>
          </w:p>
        </w:tc>
      </w:tr>
      <w:tr>
        <w:tc>
          <w:tcPr>
            <w:tcW w:type="dxa" w:w="1440"/>
          </w:tcPr>
          <w:p>
            <w:r>
              <w:t>M13</w:t>
            </w:r>
          </w:p>
        </w:tc>
        <w:tc>
          <w:tcPr>
            <w:tcW w:type="dxa" w:w="1440"/>
          </w:tcPr>
          <w:p>
            <w:r>
              <w:t>Provider Catalogue / BYOK / Provider Governance</w:t>
            </w:r>
          </w:p>
        </w:tc>
        <w:tc>
          <w:tcPr>
            <w:tcW w:type="dxa" w:w="1440"/>
          </w:tcPr>
          <w:p>
            <w:r>
              <w:t>M13 owns provider catalogue/BYOK governance</w:t>
            </w:r>
          </w:p>
        </w:tc>
        <w:tc>
          <w:tcPr>
            <w:tcW w:type="dxa" w:w="1440"/>
          </w:tcPr>
          <w:p>
            <w:r>
              <w:t>M01,M10; M09 provider catalogue/config</w:t>
            </w:r>
          </w:p>
        </w:tc>
        <w:tc>
          <w:tcPr>
            <w:tcW w:type="dxa" w:w="1440"/>
          </w:tcPr>
          <w:p>
            <w:r>
              <w:t>M04,M05,M08 and governed external provider consumers</w:t>
            </w:r>
          </w:p>
        </w:tc>
        <w:tc>
          <w:tcPr>
            <w:tcW w:type="dxa" w:w="1440"/>
          </w:tcPr>
          <w:p>
            <w:r>
              <w:t>HARD + CONFIGURATION / EXTERNAL; M04/M05 provider dependencies remain conditional</w:t>
            </w:r>
          </w:p>
        </w:tc>
      </w:tr>
      <w:tr>
        <w:tc>
          <w:tcPr>
            <w:tcW w:type="dxa" w:w="1440"/>
          </w:tcPr>
          <w:p>
            <w:r>
              <w:t>M14</w:t>
            </w:r>
          </w:p>
        </w:tc>
        <w:tc>
          <w:tcPr>
            <w:tcW w:type="dxa" w:w="1440"/>
          </w:tcPr>
          <w:p>
            <w:r>
              <w:t>Commercial / Payment / Entitlement / Quota / Promotion</w:t>
            </w:r>
          </w:p>
        </w:tc>
        <w:tc>
          <w:tcPr>
            <w:tcW w:type="dxa" w:w="1440"/>
          </w:tcPr>
          <w:p>
            <w:r>
              <w:t>M14 owns commercial lifecycle</w:t>
            </w:r>
          </w:p>
        </w:tc>
        <w:tc>
          <w:tcPr>
            <w:tcW w:type="dxa" w:w="1440"/>
          </w:tcPr>
          <w:p>
            <w:r>
              <w:t>M01,M10; M12 org context; provider adapter; M03/M04 consumers</w:t>
            </w:r>
          </w:p>
        </w:tc>
        <w:tc>
          <w:tcPr>
            <w:tcW w:type="dxa" w:w="1440"/>
          </w:tcPr>
          <w:p>
            <w:r>
              <w:t>M08,M09,M11 downstream consumers</w:t>
            </w:r>
          </w:p>
        </w:tc>
        <w:tc>
          <w:tcPr>
            <w:tcW w:type="dxa" w:w="1440"/>
          </w:tcPr>
          <w:p>
            <w:r>
              <w:t>HARD + COMMERCIAL</w:t>
            </w:r>
          </w:p>
        </w:tc>
      </w:tr>
    </w:tbl>
    <w:p>
      <w:pPr>
        <w:pStyle w:val="Heading1"/>
      </w:pPr>
      <w:r>
        <w:t>15.2 CROSS-MODULE DEPENDENCY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M01 → M10</w:t>
            </w:r>
          </w:p>
        </w:tc>
        <w:tc>
          <w:tcPr>
            <w:tcW w:type="dxa" w:w="1234"/>
          </w:tcPr>
          <w:p>
            <w:r>
              <w:t>Identity → Authorization</w:t>
            </w:r>
          </w:p>
        </w:tc>
        <w:tc>
          <w:tcPr>
            <w:tcW w:type="dxa" w:w="1234"/>
          </w:tcPr>
          <w:p>
            <w:r>
              <w:t>Authenticated subject is prerequisite for protected authorization resolution</w:t>
            </w:r>
          </w:p>
        </w:tc>
        <w:tc>
          <w:tcPr>
            <w:tcW w:type="dxa" w:w="1234"/>
          </w:tcPr>
          <w:p>
            <w:r>
              <w:t>HARD — AUTHORIZATION</w:t>
            </w:r>
          </w:p>
        </w:tc>
        <w:tc>
          <w:tcPr>
            <w:tcW w:type="dxa" w:w="1234"/>
          </w:tcPr>
          <w:p>
            <w:r>
              <w:t>M01/M10</w:t>
            </w:r>
          </w:p>
        </w:tc>
        <w:tc>
          <w:tcPr>
            <w:tcW w:type="dxa" w:w="1234"/>
          </w:tcPr>
          <w:p>
            <w:r>
              <w:t>Identity source + authorization consumer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M10 → M01–M15</w:t>
            </w:r>
          </w:p>
        </w:tc>
        <w:tc>
          <w:tcPr>
            <w:tcW w:type="dxa" w:w="1234"/>
          </w:tcPr>
          <w:p>
            <w:r>
              <w:t>Authorization enforcement</w:t>
            </w:r>
          </w:p>
        </w:tc>
        <w:tc>
          <w:tcPr>
            <w:tcW w:type="dxa" w:w="1234"/>
          </w:tcPr>
          <w:p>
            <w:r>
              <w:t>Role/Permission/Scope/Condition/Ownership/Organization/RLS resolution</w:t>
            </w:r>
          </w:p>
        </w:tc>
        <w:tc>
          <w:tcPr>
            <w:tcW w:type="dxa" w:w="1234"/>
          </w:tcPr>
          <w:p>
            <w:r>
              <w:t>HARD — AUTHORIZATION</w:t>
            </w:r>
          </w:p>
        </w:tc>
        <w:tc>
          <w:tcPr>
            <w:tcW w:type="dxa" w:w="1234"/>
          </w:tcPr>
          <w:p>
            <w:r>
              <w:t>M10</w:t>
            </w:r>
          </w:p>
        </w:tc>
        <w:tc>
          <w:tcPr>
            <w:tcW w:type="dxa" w:w="1234"/>
          </w:tcPr>
          <w:p>
            <w:r>
              <w:t>Protected operations</w:t>
            </w:r>
          </w:p>
        </w:tc>
        <w:tc>
          <w:tcPr>
            <w:tcW w:type="dxa" w:w="1234"/>
          </w:tcPr>
          <w:p>
            <w:r>
              <w:t>Semantic + physical downstream</w:t>
            </w:r>
          </w:p>
        </w:tc>
      </w:tr>
      <w:tr>
        <w:tc>
          <w:tcPr>
            <w:tcW w:type="dxa" w:w="1234"/>
          </w:tcPr>
          <w:p>
            <w:r>
              <w:t>M02 → M03</w:t>
            </w:r>
          </w:p>
        </w:tc>
        <w:tc>
          <w:tcPr>
            <w:tcW w:type="dxa" w:w="1234"/>
          </w:tcPr>
          <w:p>
            <w:r>
              <w:t>Agent profile/contact context → Listing</w:t>
            </w:r>
          </w:p>
        </w:tc>
        <w:tc>
          <w:tcPr>
            <w:tcW w:type="dxa" w:w="1234"/>
          </w:tcPr>
          <w:p>
            <w:r>
              <w:t>Profile/contact context can be consumed by Listing; M03 retains Listing lifecycle/action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M02</w:t>
            </w:r>
          </w:p>
        </w:tc>
        <w:tc>
          <w:tcPr>
            <w:tcW w:type="dxa" w:w="1234"/>
          </w:tcPr>
          <w:p>
            <w:r>
              <w:t>M03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M04 → M02</w:t>
            </w:r>
          </w:p>
        </w:tc>
        <w:tc>
          <w:tcPr>
            <w:tcW w:type="dxa" w:w="1234"/>
          </w:tcPr>
          <w:p>
            <w:r>
              <w:t>Learning evidence/progress/badge → profile projection</w:t>
            </w:r>
          </w:p>
        </w:tc>
        <w:tc>
          <w:tcPr>
            <w:tcW w:type="dxa" w:w="1234"/>
          </w:tcPr>
          <w:p>
            <w:r>
              <w:t>Learning-derived evidence may be displayed through profile; M04 retains Learning authority</w:t>
            </w:r>
          </w:p>
        </w:tc>
        <w:tc>
          <w:tcPr>
            <w:tcW w:type="dxa" w:w="1234"/>
          </w:tcPr>
          <w:p>
            <w:r>
              <w:t>CONDITIONAL / OBSERVATIONAL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M02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M12 → M03</w:t>
            </w:r>
          </w:p>
        </w:tc>
        <w:tc>
          <w:tcPr>
            <w:tcW w:type="dxa" w:w="1234"/>
          </w:tcPr>
          <w:p>
            <w:r>
              <w:t>Organization context → Listing</w:t>
            </w:r>
          </w:p>
        </w:tc>
        <w:tc>
          <w:tcPr>
            <w:tcW w:type="dxa" w:w="1234"/>
          </w:tcPr>
          <w:p>
            <w:r>
              <w:t>Organization context/scoping; no transfer of Listing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M03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M03 → M12</w:t>
            </w:r>
          </w:p>
        </w:tc>
        <w:tc>
          <w:tcPr>
            <w:tcW w:type="dxa" w:w="1234"/>
          </w:tcPr>
          <w:p>
            <w:r>
              <w:t>Listing organization reference → Organization context</w:t>
            </w:r>
          </w:p>
        </w:tc>
        <w:tc>
          <w:tcPr>
            <w:tcW w:type="dxa" w:w="1234"/>
          </w:tcPr>
          <w:p>
            <w:r>
              <w:t>Listing may reference organization context; M03 retains Listing authority and M12 retains Organization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M03 / M12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M12 → M04</w:t>
            </w:r>
          </w:p>
        </w:tc>
        <w:tc>
          <w:tcPr>
            <w:tcW w:type="dxa" w:w="1234"/>
          </w:tcPr>
          <w:p>
            <w:r>
              <w:t>Organization context → Learning/Session</w:t>
            </w:r>
          </w:p>
        </w:tc>
        <w:tc>
          <w:tcPr>
            <w:tcW w:type="dxa" w:w="1234"/>
          </w:tcPr>
          <w:p>
            <w:r>
              <w:t>Org context; membership does not create Host/Instructor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M04 → M12</w:t>
            </w:r>
          </w:p>
        </w:tc>
        <w:tc>
          <w:tcPr>
            <w:tcW w:type="dxa" w:w="1234"/>
          </w:tcPr>
          <w:p>
            <w:r>
              <w:t>Learning/Session → Organization context</w:t>
            </w:r>
          </w:p>
        </w:tc>
        <w:tc>
          <w:tcPr>
            <w:tcW w:type="dxa" w:w="1234"/>
          </w:tcPr>
          <w:p>
            <w:r>
              <w:t>Nullable organization relation/context; M04 retains Learning/Session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M04 / M12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M12 → M14</w:t>
            </w:r>
          </w:p>
        </w:tc>
        <w:tc>
          <w:tcPr>
            <w:tcW w:type="dxa" w:w="1234"/>
          </w:tcPr>
          <w:p>
            <w:r>
              <w:t>Organization context → Commercial</w:t>
            </w:r>
          </w:p>
        </w:tc>
        <w:tc>
          <w:tcPr>
            <w:tcW w:type="dxa" w:w="1234"/>
          </w:tcPr>
          <w:p>
            <w:r>
              <w:t>Org commercial context; M14 remains commercial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M14 → M12</w:t>
            </w:r>
          </w:p>
        </w:tc>
        <w:tc>
          <w:tcPr>
            <w:tcW w:type="dxa" w:w="1234"/>
          </w:tcPr>
          <w:p>
            <w:r>
              <w:t>Commercial entitlement/allocation → Organization context</w:t>
            </w:r>
          </w:p>
        </w:tc>
        <w:tc>
          <w:tcPr>
            <w:tcW w:type="dxa" w:w="1234"/>
          </w:tcPr>
          <w:p>
            <w:r>
              <w:t>Governed entitlement/allocation result may be associated with organization context; M14 retains commercial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M14 / M12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M12 → M15</w:t>
            </w:r>
          </w:p>
        </w:tc>
        <w:tc>
          <w:tcPr>
            <w:tcW w:type="dxa" w:w="1234"/>
          </w:tcPr>
          <w:p>
            <w:r>
              <w:t>Organization context → Awarding</w:t>
            </w:r>
          </w:p>
        </w:tc>
        <w:tc>
          <w:tcPr>
            <w:tcW w:type="dxa" w:w="1234"/>
          </w:tcPr>
          <w:p>
            <w:r>
              <w:t>Scope/context only; M15 remains awarding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M12</w:t>
            </w:r>
          </w:p>
        </w:tc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M03 → M14</w:t>
            </w:r>
          </w:p>
        </w:tc>
        <w:tc>
          <w:tcPr>
            <w:tcW w:type="dxa" w:w="1234"/>
          </w:tcPr>
          <w:p>
            <w:r>
              <w:t>Listing consumption ↔ commercial capacity</w:t>
            </w:r>
          </w:p>
        </w:tc>
        <w:tc>
          <w:tcPr>
            <w:tcW w:type="dxa" w:w="1234"/>
          </w:tcPr>
          <w:p>
            <w:r>
              <w:t>M14 supplies entitlement/quota eligibility; M03 executes Listing/Refresh action</w:t>
            </w:r>
          </w:p>
        </w:tc>
        <w:tc>
          <w:tcPr>
            <w:tcW w:type="dxa" w:w="1234"/>
          </w:tcPr>
          <w:p>
            <w:r>
              <w:t>HARD — QUOTA/ENTITLEMENT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M03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M14 → M03</w:t>
            </w:r>
          </w:p>
        </w:tc>
        <w:tc>
          <w:tcPr>
            <w:tcW w:type="dxa" w:w="1234"/>
          </w:tcPr>
          <w:p>
            <w:r>
              <w:t>Commercial entitlement → Listing eligibility</w:t>
            </w:r>
          </w:p>
        </w:tc>
        <w:tc>
          <w:tcPr>
            <w:tcW w:type="dxa" w:w="1234"/>
          </w:tcPr>
          <w:p>
            <w:r>
              <w:t>Commercial success/allowance never replaces M03 action authority or M10 authorization</w:t>
            </w:r>
          </w:p>
        </w:tc>
        <w:tc>
          <w:tcPr>
            <w:tcW w:type="dxa" w:w="1234"/>
          </w:tcPr>
          <w:p>
            <w:r>
              <w:t>HARD — QUOTA/ENTITLEMENT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M03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M04 → M05</w:t>
            </w:r>
          </w:p>
        </w:tc>
        <w:tc>
          <w:tcPr>
            <w:tcW w:type="dxa" w:w="1234"/>
          </w:tcPr>
          <w:p>
            <w:r>
              <w:t>Learning/Session → Event context</w:t>
            </w:r>
          </w:p>
        </w:tc>
        <w:tc>
          <w:tcPr>
            <w:tcW w:type="dxa" w:w="1234"/>
          </w:tcPr>
          <w:p>
            <w:r>
              <w:t>Nullable Event relation/context; M05 retains Event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M04 / M05</w:t>
            </w:r>
          </w:p>
        </w:tc>
        <w:tc>
          <w:tcPr>
            <w:tcW w:type="dxa" w:w="1234"/>
          </w:tcPr>
          <w:p>
            <w:r>
              <w:t>M05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M05 → M04</w:t>
            </w:r>
          </w:p>
        </w:tc>
        <w:tc>
          <w:tcPr>
            <w:tcW w:type="dxa" w:w="1234"/>
          </w:tcPr>
          <w:p>
            <w:r>
              <w:t>Event → Learning/Session context</w:t>
            </w:r>
          </w:p>
        </w:tc>
        <w:tc>
          <w:tcPr>
            <w:tcW w:type="dxa" w:w="1234"/>
          </w:tcPr>
          <w:p>
            <w:r>
              <w:t>Canonical Event representation may be consumed by Learning/Session; M04 retains Learning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M05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M04 → M15</w:t>
            </w:r>
          </w:p>
        </w:tc>
        <w:tc>
          <w:tcPr>
            <w:tcW w:type="dxa" w:w="1234"/>
          </w:tcPr>
          <w:p>
            <w:r>
              <w:t>Learning evidence → qualification</w:t>
            </w:r>
          </w:p>
        </w:tc>
        <w:tc>
          <w:tcPr>
            <w:tcW w:type="dxa" w:w="1234"/>
          </w:tcPr>
          <w:p>
            <w:r>
              <w:t>Governed Learning evidence is consumed by M15; Learning authority remains M04</w:t>
            </w:r>
          </w:p>
        </w:tc>
        <w:tc>
          <w:tcPr>
            <w:tcW w:type="dxa" w:w="1234"/>
          </w:tcPr>
          <w:p>
            <w:r>
              <w:t>HARD — EVIDENCE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M05 → M08/M11</w:t>
            </w:r>
          </w:p>
        </w:tc>
        <w:tc>
          <w:tcPr>
            <w:tcW w:type="dxa" w:w="1234"/>
          </w:tcPr>
          <w:p>
            <w:r>
              <w:t>Event outcomes → projection/discovery</w:t>
            </w:r>
          </w:p>
        </w:tc>
        <w:tc>
          <w:tcPr>
            <w:tcW w:type="dxa" w:w="1234"/>
          </w:tcPr>
          <w:p>
            <w:r>
              <w:t>M08/M11 consume Event outcomes without owning lifecycle</w:t>
            </w:r>
          </w:p>
        </w:tc>
        <w:tc>
          <w:tcPr>
            <w:tcW w:type="dxa" w:w="1234"/>
          </w:tcPr>
          <w:p>
            <w:r>
              <w:t>OBSERVATIONAL</w:t>
            </w:r>
          </w:p>
        </w:tc>
        <w:tc>
          <w:tcPr>
            <w:tcW w:type="dxa" w:w="1234"/>
          </w:tcPr>
          <w:p>
            <w:r>
              <w:t>M05</w:t>
            </w:r>
          </w:p>
        </w:tc>
        <w:tc>
          <w:tcPr>
            <w:tcW w:type="dxa" w:w="1234"/>
          </w:tcPr>
          <w:p>
            <w:r>
              <w:t>M08/M11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M06 → M03</w:t>
            </w:r>
          </w:p>
        </w:tc>
        <w:tc>
          <w:tcPr>
            <w:tcW w:type="dxa" w:w="1234"/>
          </w:tcPr>
          <w:p>
            <w:r>
              <w:t>Project/Developer → Listing-compatible contract</w:t>
            </w:r>
          </w:p>
        </w:tc>
        <w:tc>
          <w:tcPr>
            <w:tcW w:type="dxa" w:w="1234"/>
          </w:tcPr>
          <w:p>
            <w:r>
              <w:t>Project-owned data can supply Listing-compatible content; M03 owns Listing lifecycle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M06</w:t>
            </w:r>
          </w:p>
        </w:tc>
        <w:tc>
          <w:tcPr>
            <w:tcW w:type="dxa" w:w="1234"/>
          </w:tcPr>
          <w:p>
            <w:r>
              <w:t>M03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M06 → M11</w:t>
            </w:r>
          </w:p>
        </w:tc>
        <w:tc>
          <w:tcPr>
            <w:tcW w:type="dxa" w:w="1234"/>
          </w:tcPr>
          <w:p>
            <w:r>
              <w:t>Developer/Project → public discovery</w:t>
            </w:r>
          </w:p>
        </w:tc>
        <w:tc>
          <w:tcPr>
            <w:tcW w:type="dxa" w:w="1234"/>
          </w:tcPr>
          <w:p>
            <w:r>
              <w:t>M11 projects/discovers public resources; M06 retains resource authority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M06</w:t>
            </w:r>
          </w:p>
        </w:tc>
        <w:tc>
          <w:tcPr>
            <w:tcW w:type="dxa" w:w="1234"/>
          </w:tcPr>
          <w:p>
            <w:r>
              <w:t>M11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M11 ← M02/M03/M05/M06/M12/M15</w:t>
            </w:r>
          </w:p>
        </w:tc>
        <w:tc>
          <w:tcPr>
            <w:tcW w:type="dxa" w:w="1234"/>
          </w:tcPr>
          <w:p>
            <w:r>
              <w:t>Public discovery surface</w:t>
            </w:r>
          </w:p>
        </w:tc>
        <w:tc>
          <w:tcPr>
            <w:tcW w:type="dxa" w:w="1234"/>
          </w:tcPr>
          <w:p>
            <w:r>
              <w:t>M11 consumes public resource contracts; does not own administrative lifecycle</w:t>
            </w:r>
          </w:p>
        </w:tc>
        <w:tc>
          <w:tcPr>
            <w:tcW w:type="dxa" w:w="1234"/>
          </w:tcPr>
          <w:p>
            <w:r>
              <w:t>OBSERVATIONAL</w:t>
            </w:r>
          </w:p>
        </w:tc>
        <w:tc>
          <w:tcPr>
            <w:tcW w:type="dxa" w:w="1234"/>
          </w:tcPr>
          <w:p>
            <w:r>
              <w:t>Source domains</w:t>
            </w:r>
          </w:p>
        </w:tc>
        <w:tc>
          <w:tcPr>
            <w:tcW w:type="dxa" w:w="1234"/>
          </w:tcPr>
          <w:p>
            <w:r>
              <w:t>M11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M09 → domain configuration</w:t>
            </w:r>
          </w:p>
        </w:tc>
        <w:tc>
          <w:tcPr>
            <w:tcW w:type="dxa" w:w="1234"/>
          </w:tcPr>
          <w:p>
            <w:r>
              <w:t>Admin configuration → domain</w:t>
            </w:r>
          </w:p>
        </w:tc>
        <w:tc>
          <w:tcPr>
            <w:tcW w:type="dxa" w:w="1234"/>
          </w:tcPr>
          <w:p>
            <w:r>
              <w:t>M09 configures/controls subject to M10 and domain ownership</w:t>
            </w:r>
          </w:p>
        </w:tc>
        <w:tc>
          <w:tcPr>
            <w:tcW w:type="dxa" w:w="1234"/>
          </w:tcPr>
          <w:p>
            <w:r>
              <w:t>CONFIGURATION</w:t>
            </w:r>
          </w:p>
        </w:tc>
        <w:tc>
          <w:tcPr>
            <w:tcW w:type="dxa" w:w="1234"/>
          </w:tcPr>
          <w:p>
            <w:r>
              <w:t>M09</w:t>
            </w:r>
          </w:p>
        </w:tc>
        <w:tc>
          <w:tcPr>
            <w:tcW w:type="dxa" w:w="1234"/>
          </w:tcPr>
          <w:p>
            <w:r>
              <w:t>M03/M04/M05/M06/M07/M13/M14/M15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M13 → M04</w:t>
            </w:r>
          </w:p>
        </w:tc>
        <w:tc>
          <w:tcPr>
            <w:tcW w:type="dxa" w:w="1234"/>
          </w:tcPr>
          <w:p>
            <w:r>
              <w:t>Provider catalogue/BYOK → Learning/Session provider integration</w:t>
            </w:r>
          </w:p>
        </w:tc>
        <w:tc>
          <w:tcPr>
            <w:tcW w:type="dxa" w:w="1234"/>
          </w:tcPr>
          <w:p>
            <w:r>
              <w:t>Provider configuration can support governed external Learning/Session integrations; it does not transfer Learning/Event authority</w:t>
            </w:r>
          </w:p>
        </w:tc>
        <w:tc>
          <w:tcPr>
            <w:tcW w:type="dxa" w:w="1234"/>
          </w:tcPr>
          <w:p>
            <w:r>
              <w:t>EXTERNAL / CONFIGURATION / CONDITIONAL</w:t>
            </w:r>
          </w:p>
        </w:tc>
        <w:tc>
          <w:tcPr>
            <w:tcW w:type="dxa" w:w="1234"/>
          </w:tcPr>
          <w:p>
            <w:r>
              <w:t>M13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Operational + semantic</w:t>
            </w:r>
          </w:p>
        </w:tc>
      </w:tr>
      <w:tr>
        <w:tc>
          <w:tcPr>
            <w:tcW w:type="dxa" w:w="1234"/>
          </w:tcPr>
          <w:p>
            <w:r>
              <w:t>M13 → M05</w:t>
            </w:r>
          </w:p>
        </w:tc>
        <w:tc>
          <w:tcPr>
            <w:tcW w:type="dxa" w:w="1234"/>
          </w:tcPr>
          <w:p>
            <w:r>
              <w:t>Provider catalogue/BYOK → Event provider integration</w:t>
            </w:r>
          </w:p>
        </w:tc>
        <w:tc>
          <w:tcPr>
            <w:tcW w:type="dxa" w:w="1234"/>
          </w:tcPr>
          <w:p>
            <w:r>
              <w:t>Provider configuration can support governed external Event integrations; M05 retains Event authority</w:t>
            </w:r>
          </w:p>
        </w:tc>
        <w:tc>
          <w:tcPr>
            <w:tcW w:type="dxa" w:w="1234"/>
          </w:tcPr>
          <w:p>
            <w:r>
              <w:t>EXTERNAL / CONFIGURATION / CONDITIONAL</w:t>
            </w:r>
          </w:p>
        </w:tc>
        <w:tc>
          <w:tcPr>
            <w:tcW w:type="dxa" w:w="1234"/>
          </w:tcPr>
          <w:p>
            <w:r>
              <w:t>M13</w:t>
            </w:r>
          </w:p>
        </w:tc>
        <w:tc>
          <w:tcPr>
            <w:tcW w:type="dxa" w:w="1234"/>
          </w:tcPr>
          <w:p>
            <w:r>
              <w:t>M05</w:t>
            </w:r>
          </w:p>
        </w:tc>
        <w:tc>
          <w:tcPr>
            <w:tcW w:type="dxa" w:w="1234"/>
          </w:tcPr>
          <w:p>
            <w:r>
              <w:t>Operational + semantic</w:t>
            </w:r>
          </w:p>
        </w:tc>
      </w:tr>
      <w:tr>
        <w:tc>
          <w:tcPr>
            <w:tcW w:type="dxa" w:w="1234"/>
          </w:tcPr>
          <w:p>
            <w:r>
              <w:t>M13 → external providers</w:t>
            </w:r>
          </w:p>
        </w:tc>
        <w:tc>
          <w:tcPr>
            <w:tcW w:type="dxa" w:w="1234"/>
          </w:tcPr>
          <w:p>
            <w:r>
              <w:t>Provider catalogue/BYOK → provider integration</w:t>
            </w:r>
          </w:p>
        </w:tc>
        <w:tc>
          <w:tcPr>
            <w:tcW w:type="dxa" w:w="1234"/>
          </w:tcPr>
          <w:p>
            <w:r>
              <w:t>Provider config/catalogue behind M13; M10 cannot be bypassed</w:t>
            </w:r>
          </w:p>
        </w:tc>
        <w:tc>
          <w:tcPr>
            <w:tcW w:type="dxa" w:w="1234"/>
          </w:tcPr>
          <w:p>
            <w:r>
              <w:t>EXTERNAL / CONFIGURATION</w:t>
            </w:r>
          </w:p>
        </w:tc>
        <w:tc>
          <w:tcPr>
            <w:tcW w:type="dxa" w:w="1234"/>
          </w:tcPr>
          <w:p>
            <w:r>
              <w:t>M13</w:t>
            </w:r>
          </w:p>
        </w:tc>
        <w:tc>
          <w:tcPr>
            <w:tcW w:type="dxa" w:w="1234"/>
          </w:tcPr>
          <w:p>
            <w:r>
              <w:t>AI/provider consumers</w:t>
            </w:r>
          </w:p>
        </w:tc>
        <w:tc>
          <w:tcPr>
            <w:tcW w:type="dxa" w:w="1234"/>
          </w:tcPr>
          <w:p>
            <w:r>
              <w:t>Operational</w:t>
            </w:r>
          </w:p>
        </w:tc>
      </w:tr>
      <w:tr>
        <w:tc>
          <w:tcPr>
            <w:tcW w:type="dxa" w:w="1234"/>
          </w:tcPr>
          <w:p>
            <w:r>
              <w:t>M14 → M04</w:t>
            </w:r>
          </w:p>
        </w:tc>
        <w:tc>
          <w:tcPr>
            <w:tcW w:type="dxa" w:w="1234"/>
          </w:tcPr>
          <w:p>
            <w:r>
              <w:t>Commercial fulfillment → Learning-side benefit</w:t>
            </w:r>
          </w:p>
        </w:tc>
        <w:tc>
          <w:tcPr>
            <w:tcW w:type="dxa" w:w="1234"/>
          </w:tcPr>
          <w:p>
            <w:r>
              <w:t>Only where governed commercial product/LP purchase exists; payment success ≠ RBAC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M04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M14 → M15</w:t>
            </w:r>
          </w:p>
        </w:tc>
        <w:tc>
          <w:tcPr>
            <w:tcW w:type="dxa" w:w="1234"/>
          </w:tcPr>
          <w:p>
            <w:r>
              <w:t>Commercial evidence → qualification</w:t>
            </w:r>
          </w:p>
        </w:tc>
        <w:tc>
          <w:tcPr>
            <w:tcW w:type="dxa" w:w="1234"/>
          </w:tcPr>
          <w:p>
            <w:r>
              <w:t>Only where an approved commercial consequence is defined; no awarding authority transfer</w:t>
            </w:r>
          </w:p>
        </w:tc>
        <w:tc>
          <w:tcPr>
            <w:tcW w:type="dxa" w:w="1234"/>
          </w:tcPr>
          <w:p>
            <w:r>
              <w:t>CONDITIONAL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M15 → M02/M08/M11</w:t>
            </w:r>
          </w:p>
        </w:tc>
        <w:tc>
          <w:tcPr>
            <w:tcW w:type="dxa" w:w="1234"/>
          </w:tcPr>
          <w:p>
            <w:r>
              <w:t>Award result → profile/projection/discovery</w:t>
            </w:r>
          </w:p>
        </w:tc>
        <w:tc>
          <w:tcPr>
            <w:tcW w:type="dxa" w:w="1234"/>
          </w:tcPr>
          <w:p>
            <w:r>
              <w:t>Consumers display/measure governed award outcomes; M15 remains award authority</w:t>
            </w:r>
          </w:p>
        </w:tc>
        <w:tc>
          <w:tcPr>
            <w:tcW w:type="dxa" w:w="1234"/>
          </w:tcPr>
          <w:p>
            <w:r>
              <w:t>OBSERVATIONAL</w:t>
            </w:r>
          </w:p>
        </w:tc>
        <w:tc>
          <w:tcPr>
            <w:tcW w:type="dxa" w:w="1234"/>
          </w:tcPr>
          <w:p>
            <w:r>
              <w:t>M15</w:t>
            </w:r>
          </w:p>
        </w:tc>
        <w:tc>
          <w:tcPr>
            <w:tcW w:type="dxa" w:w="1234"/>
          </w:tcPr>
          <w:p>
            <w:r>
              <w:t>M02/M08/M11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M01/M10 → M13</w:t>
            </w:r>
          </w:p>
        </w:tc>
        <w:tc>
          <w:tcPr>
            <w:tcW w:type="dxa" w:w="1234"/>
          </w:tcPr>
          <w:p>
            <w:r>
              <w:t>Identity + authorization → BYOK</w:t>
            </w:r>
          </w:p>
        </w:tc>
        <w:tc>
          <w:tcPr>
            <w:tcW w:type="dxa" w:w="1234"/>
          </w:tcPr>
          <w:p>
            <w:r>
              <w:t>BYOK resource access is authenticated and authorized; M13 does not become authorization authority</w:t>
            </w:r>
          </w:p>
        </w:tc>
        <w:tc>
          <w:tcPr>
            <w:tcW w:type="dxa" w:w="1234"/>
          </w:tcPr>
          <w:p>
            <w:r>
              <w:t>HARD — AUTHORIZATION</w:t>
            </w:r>
          </w:p>
        </w:tc>
        <w:tc>
          <w:tcPr>
            <w:tcW w:type="dxa" w:w="1234"/>
          </w:tcPr>
          <w:p>
            <w:r>
              <w:t>M01/M10</w:t>
            </w:r>
          </w:p>
        </w:tc>
        <w:tc>
          <w:tcPr>
            <w:tcW w:type="dxa" w:w="1234"/>
          </w:tcPr>
          <w:p>
            <w:r>
              <w:t>M13</w:t>
            </w:r>
          </w:p>
        </w:tc>
        <w:tc>
          <w:tcPr>
            <w:tcW w:type="dxa" w:w="1234"/>
          </w:tcPr>
          <w:p>
            <w:r>
              <w:t>Semantic</w:t>
            </w:r>
          </w:p>
        </w:tc>
      </w:tr>
      <w:tr>
        <w:tc>
          <w:tcPr>
            <w:tcW w:type="dxa" w:w="1234"/>
          </w:tcPr>
          <w:p>
            <w:r>
              <w:t>Payment Core → Midtrans Adapter → Reconciliation</w:t>
            </w:r>
          </w:p>
        </w:tc>
        <w:tc>
          <w:tcPr>
            <w:tcW w:type="dxa" w:w="1234"/>
          </w:tcPr>
          <w:p>
            <w:r>
              <w:t>Payment orchestration</w:t>
            </w:r>
          </w:p>
        </w:tc>
        <w:tc>
          <w:tcPr>
            <w:tcW w:type="dxa" w:w="1234"/>
          </w:tcPr>
          <w:p>
            <w:r>
              <w:t>Provider-independent Payment Core; Midtrans MVP behind Provider Adapter; verification/fulfillment/reconciliation separated</w:t>
            </w:r>
          </w:p>
        </w:tc>
        <w:tc>
          <w:tcPr>
            <w:tcW w:type="dxa" w:w="1234"/>
          </w:tcPr>
          <w:p>
            <w:r>
              <w:t>EXTERNAL / PROVIDER</w:t>
            </w:r>
          </w:p>
        </w:tc>
        <w:tc>
          <w:tcPr>
            <w:tcW w:type="dxa" w:w="1234"/>
          </w:tcPr>
          <w:p>
            <w:r>
              <w:t>M14</w:t>
            </w:r>
          </w:p>
        </w:tc>
        <w:tc>
          <w:tcPr>
            <w:tcW w:type="dxa" w:w="1234"/>
          </w:tcPr>
          <w:p>
            <w:r>
              <w:t>Payment subsystem</w:t>
            </w:r>
          </w:p>
        </w:tc>
        <w:tc>
          <w:tcPr>
            <w:tcW w:type="dxa" w:w="1234"/>
          </w:tcPr>
          <w:p>
            <w:r>
              <w:t>Operational + semantic</w:t>
            </w:r>
          </w:p>
        </w:tc>
      </w:tr>
      <w:tr>
        <w:tc>
          <w:tcPr>
            <w:tcW w:type="dxa" w:w="1234"/>
          </w:tcPr>
          <w:p>
            <w:r>
              <w:t>MapsProvider → LocationIQ / Geoapify</w:t>
            </w:r>
          </w:p>
        </w:tc>
        <w:tc>
          <w:tcPr>
            <w:tcW w:type="dxa" w:w="1234"/>
          </w:tcPr>
          <w:p>
            <w:r>
              <w:t>Maps abstraction → geocoding providers</w:t>
            </w:r>
          </w:p>
        </w:tc>
        <w:tc>
          <w:tcPr>
            <w:tcW w:type="dxa" w:w="1234"/>
          </w:tcPr>
          <w:p>
            <w:r>
              <w:t>Mandatory provider abstraction; provider-specific choice does not leak into business authority</w:t>
            </w:r>
          </w:p>
        </w:tc>
        <w:tc>
          <w:tcPr>
            <w:tcW w:type="dxa" w:w="1234"/>
          </w:tcPr>
          <w:p>
            <w:r>
              <w:t>EXTERNAL / PROVIDER / CONDITIONAL</w:t>
            </w:r>
          </w:p>
        </w:tc>
        <w:tc>
          <w:tcPr>
            <w:tcW w:type="dxa" w:w="1234"/>
          </w:tcPr>
          <w:p>
            <w:r>
              <w:t>Maps/ADR-008 v3</w:t>
            </w:r>
          </w:p>
        </w:tc>
        <w:tc>
          <w:tcPr>
            <w:tcW w:type="dxa" w:w="1234"/>
          </w:tcPr>
          <w:p>
            <w:r>
              <w:t>M03 location functionality</w:t>
            </w:r>
          </w:p>
        </w:tc>
        <w:tc>
          <w:tcPr>
            <w:tcW w:type="dxa" w:w="1234"/>
          </w:tcPr>
          <w:p>
            <w:r>
              <w:t>Operational + semantic</w:t>
            </w:r>
          </w:p>
        </w:tc>
      </w:tr>
    </w:tbl>
    <w:p>
      <w:r>
        <w:t>Dependency direction is descriptive of consumption/contract flow, not ownership transfer. Bidirectional contextual relationships are retained where Core evidence establishes both directions; each side keeps its own semantic authority.</w:t>
      </w:r>
    </w:p>
    <w:p>
      <w:pPr>
        <w:pStyle w:val="Heading1"/>
      </w:pPr>
      <w:r>
        <w:t>15.3 RE-ENTRY DEPENDENCY GAP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GAP-D-01</w:t>
            </w:r>
          </w:p>
        </w:tc>
        <w:tc>
          <w:tcPr>
            <w:tcW w:type="dxa" w:w="1728"/>
          </w:tcPr>
          <w:p>
            <w:r>
              <w:t>M02 → M03 profile/contact context was not explicit in the prior STEP09-D contract table</w:t>
            </w:r>
          </w:p>
        </w:tc>
        <w:tc>
          <w:tcPr>
            <w:tcW w:type="dxa" w:w="1728"/>
          </w:tcPr>
          <w:p>
            <w:r>
              <w:t>Add explicit M02 → M03 dependency contract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GAP-D-02</w:t>
            </w:r>
          </w:p>
        </w:tc>
        <w:tc>
          <w:tcPr>
            <w:tcW w:type="dxa" w:w="1728"/>
          </w:tcPr>
          <w:p>
            <w:r>
              <w:t>M04 → M02 badge/progress/evidence projection was not explicit</w:t>
            </w:r>
          </w:p>
        </w:tc>
        <w:tc>
          <w:tcPr>
            <w:tcW w:type="dxa" w:w="1728"/>
          </w:tcPr>
          <w:p>
            <w:r>
              <w:t>Add explicit M04 → M02 observational dependency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GAP-D-03</w:t>
            </w:r>
          </w:p>
        </w:tc>
        <w:tc>
          <w:tcPr>
            <w:tcW w:type="dxa" w:w="1728"/>
          </w:tcPr>
          <w:p>
            <w:r>
              <w:t>M03 → M12 Listing organization reference was omitted from directional contract</w:t>
            </w:r>
          </w:p>
        </w:tc>
        <w:tc>
          <w:tcPr>
            <w:tcW w:type="dxa" w:w="1728"/>
          </w:tcPr>
          <w:p>
            <w:r>
              <w:t>Add explicit M03 → M12 contextual dependency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GAP-D-04</w:t>
            </w:r>
          </w:p>
        </w:tc>
        <w:tc>
          <w:tcPr>
            <w:tcW w:type="dxa" w:w="1728"/>
          </w:tcPr>
          <w:p>
            <w:r>
              <w:t>M04 → M12 nullable Organization relation was omitted</w:t>
            </w:r>
          </w:p>
        </w:tc>
        <w:tc>
          <w:tcPr>
            <w:tcW w:type="dxa" w:w="1728"/>
          </w:tcPr>
          <w:p>
            <w:r>
              <w:t>Add explicit M04 → M12 contextual dependency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GAP-D-05</w:t>
            </w:r>
          </w:p>
        </w:tc>
        <w:tc>
          <w:tcPr>
            <w:tcW w:type="dxa" w:w="1728"/>
          </w:tcPr>
          <w:p>
            <w:r>
              <w:t>M14 → M12 entitlement/allocation result was omitted</w:t>
            </w:r>
          </w:p>
        </w:tc>
        <w:tc>
          <w:tcPr>
            <w:tcW w:type="dxa" w:w="1728"/>
          </w:tcPr>
          <w:p>
            <w:r>
              <w:t>Add explicit M14 → M12 commercial-context dependency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GAP-D-06</w:t>
            </w:r>
          </w:p>
        </w:tc>
        <w:tc>
          <w:tcPr>
            <w:tcW w:type="dxa" w:w="1728"/>
          </w:tcPr>
          <w:p>
            <w:r>
              <w:t>M04 → M05 Event relation was omitted</w:t>
            </w:r>
          </w:p>
        </w:tc>
        <w:tc>
          <w:tcPr>
            <w:tcW w:type="dxa" w:w="1728"/>
          </w:tcPr>
          <w:p>
            <w:r>
              <w:t>Add explicit M04 → M05 contextual dependency</w:t>
            </w:r>
          </w:p>
        </w:tc>
        <w:tc>
          <w:tcPr>
            <w:tcW w:type="dxa" w:w="1728"/>
          </w:tcPr>
          <w:p>
            <w:r>
              <w:t>AUGMENT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GAP-D-07</w:t>
            </w:r>
          </w:p>
        </w:tc>
        <w:tc>
          <w:tcPr>
            <w:tcW w:type="dxa" w:w="1728"/>
          </w:tcPr>
          <w:p>
            <w:r>
              <w:t>M13 → M04 provider dependency lacked explicit consumer mapping</w:t>
            </w:r>
          </w:p>
        </w:tc>
        <w:tc>
          <w:tcPr>
            <w:tcW w:type="dxa" w:w="1728"/>
          </w:tcPr>
          <w:p>
            <w:r>
              <w:t>Add conditional provider dependency without transferring M04 authority</w:t>
            </w:r>
          </w:p>
        </w:tc>
        <w:tc>
          <w:tcPr>
            <w:tcW w:type="dxa" w:w="1728"/>
          </w:tcPr>
          <w:p>
            <w:r>
              <w:t>CONTROLLED / CONDITIONAL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GAP-D-08</w:t>
            </w:r>
          </w:p>
        </w:tc>
        <w:tc>
          <w:tcPr>
            <w:tcW w:type="dxa" w:w="1728"/>
          </w:tcPr>
          <w:p>
            <w:r>
              <w:t>M13 → M05 provider dependency lacked explicit consumer mapping</w:t>
            </w:r>
          </w:p>
        </w:tc>
        <w:tc>
          <w:tcPr>
            <w:tcW w:type="dxa" w:w="1728"/>
          </w:tcPr>
          <w:p>
            <w:r>
              <w:t>Add conditional provider dependency without transferring M05 authority</w:t>
            </w:r>
          </w:p>
        </w:tc>
        <w:tc>
          <w:tcPr>
            <w:tcW w:type="dxa" w:w="1728"/>
          </w:tcPr>
          <w:p>
            <w:r>
              <w:t>CONTROLLED / CONDITIONAL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>
      <w:pPr>
        <w:pStyle w:val="Heading1"/>
      </w:pPr>
      <w:r>
        <w:t>16. CURRENT DOWNSTREAM DEPENDENCY CONTRACT</w:t>
      </w:r>
    </w:p>
    <w:p>
      <w:r>
        <w:t>STEP09-D downstream contract: dependency facts are propagated to downstream artifacts only after semantic authority is stable. The manifest distinguishes semantic dependency from physical/runtime evidence.</w:t>
      </w:r>
    </w:p>
    <w:p>
      <w:pPr>
        <w:pStyle w:val="Heading1"/>
      </w:pPr>
      <w:r>
        <w:t>16.1 DOWNSTREAM INPUT / OUTPUT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Manifest / Current Project State</w:t>
            </w:r>
          </w:p>
        </w:tc>
        <w:tc>
          <w:tcPr>
            <w:tcW w:type="dxa" w:w="2160"/>
          </w:tcPr>
          <w:p>
            <w:r>
              <w:t>Current dependency identity, formal/sync version, status, provenance</w:t>
            </w:r>
          </w:p>
        </w:tc>
        <w:tc>
          <w:tcPr>
            <w:tcW w:type="dxa" w:w="2160"/>
          </w:tcPr>
          <w:p>
            <w:r>
              <w:t>This STEP09-D manifest</w:t>
            </w:r>
          </w:p>
        </w:tc>
        <w:tc>
          <w:tcPr>
            <w:tcW w:type="dxa" w:w="2160"/>
          </w:tcPr>
          <w:p>
            <w:r>
              <w:t>No implementation-state inference</w:t>
            </w:r>
          </w:p>
        </w:tc>
      </w:tr>
      <w:tr>
        <w:tc>
          <w:tcPr>
            <w:tcW w:type="dxa" w:w="2160"/>
          </w:tcPr>
          <w:p>
            <w:r>
              <w:t>Business Rules / PRD / User Flow</w:t>
            </w:r>
          </w:p>
        </w:tc>
        <w:tc>
          <w:tcPr>
            <w:tcW w:type="dxa" w:w="2160"/>
          </w:tcPr>
          <w:p>
            <w:r>
              <w:t>Technology dependencies only where already governed</w:t>
            </w:r>
          </w:p>
        </w:tc>
        <w:tc>
          <w:tcPr>
            <w:tcW w:type="dxa" w:w="2160"/>
          </w:tcPr>
          <w:p>
            <w:r>
              <w:t>Approved TD + manifest</w:t>
            </w:r>
          </w:p>
        </w:tc>
        <w:tc>
          <w:tcPr>
            <w:tcW w:type="dxa" w:w="2160"/>
          </w:tcPr>
          <w:p>
            <w:r>
              <w:t>Must not redefine normative business authority</w:t>
            </w:r>
          </w:p>
        </w:tc>
      </w:tr>
      <w:tr>
        <w:tc>
          <w:tcPr>
            <w:tcW w:type="dxa" w:w="2160"/>
          </w:tcPr>
          <w:p>
            <w:r>
              <w:t>ERD / Dictionary / Schema</w:t>
            </w:r>
          </w:p>
        </w:tc>
        <w:tc>
          <w:tcPr>
            <w:tcW w:type="dxa" w:w="2160"/>
          </w:tcPr>
          <w:p>
            <w:r>
              <w:t>Provider-agnostic logical boundaries and physical dependency consequences</w:t>
            </w:r>
          </w:p>
        </w:tc>
        <w:tc>
          <w:tcPr>
            <w:tcW w:type="dxa" w:w="2160"/>
          </w:tcPr>
          <w:p>
            <w:r>
              <w:t>Architecture + TD + manifest</w:t>
            </w:r>
          </w:p>
        </w:tc>
        <w:tc>
          <w:tcPr>
            <w:tcW w:type="dxa" w:w="2160"/>
          </w:tcPr>
          <w:p>
            <w:r>
              <w:t>No schema invention from package choice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Integration/provider boundaries, server-side secrets, dependency contracts</w:t>
            </w:r>
          </w:p>
        </w:tc>
        <w:tc>
          <w:tcPr>
            <w:tcW w:type="dxa" w:w="2160"/>
          </w:tcPr>
          <w:p>
            <w:r>
              <w:t>Architecture + TD + manifest</w:t>
            </w:r>
          </w:p>
        </w:tc>
        <w:tc>
          <w:tcPr>
            <w:tcW w:type="dxa" w:w="2160"/>
          </w:tcPr>
          <w:p>
            <w:r>
              <w:t>No API endpoint invention here</w:t>
            </w:r>
          </w:p>
        </w:tc>
      </w:tr>
      <w:tr>
        <w:tc>
          <w:tcPr>
            <w:tcW w:type="dxa" w:w="2160"/>
          </w:tcPr>
          <w:p>
            <w:r>
              <w:t>RBAC / Permission / RLS</w:t>
            </w:r>
          </w:p>
        </w:tc>
        <w:tc>
          <w:tcPr>
            <w:tcW w:type="dxa" w:w="2160"/>
          </w:tcPr>
          <w:p>
            <w:r>
              <w:t>Authorization remains M10; package dependencies do not create permissions</w:t>
            </w:r>
          </w:p>
        </w:tc>
        <w:tc>
          <w:tcPr>
            <w:tcW w:type="dxa" w:w="2160"/>
          </w:tcPr>
          <w:p>
            <w:r>
              <w:t>M10 + TD + manifest</w:t>
            </w:r>
          </w:p>
        </w:tc>
        <w:tc>
          <w:tcPr>
            <w:tcW w:type="dxa" w:w="2160"/>
          </w:tcPr>
          <w:p>
            <w:r>
              <w:t>No permission-ID/RLS implementation claim</w:t>
            </w:r>
          </w:p>
        </w:tc>
      </w:tr>
      <w:tr>
        <w:tc>
          <w:tcPr>
            <w:tcW w:type="dxa" w:w="2160"/>
          </w:tcPr>
          <w:p>
            <w:r>
              <w:t>Functional / Technical Specification</w:t>
            </w:r>
          </w:p>
        </w:tc>
        <w:tc>
          <w:tcPr>
            <w:tcW w:type="dxa" w:w="2160"/>
          </w:tcPr>
          <w:p>
            <w:r>
              <w:t>Approved stack and domain dependency constraints</w:t>
            </w:r>
          </w:p>
        </w:tc>
        <w:tc>
          <w:tcPr>
            <w:tcW w:type="dxa" w:w="2160"/>
          </w:tcPr>
          <w:p>
            <w:r>
              <w:t>TD + manifest</w:t>
            </w:r>
          </w:p>
        </w:tc>
        <w:tc>
          <w:tcPr>
            <w:tcW w:type="dxa" w:w="2160"/>
          </w:tcPr>
          <w:p>
            <w:r>
              <w:t>Do not consume historical candidate dependencies</w:t>
            </w:r>
          </w:p>
        </w:tc>
      </w:tr>
      <w:tr>
        <w:tc>
          <w:tcPr>
            <w:tcW w:type="dxa" w:w="2160"/>
          </w:tcPr>
          <w:p>
            <w:r>
              <w:t>UI / UX / SEO / Analytics</w:t>
            </w:r>
          </w:p>
        </w:tc>
        <w:tc>
          <w:tcPr>
            <w:tcW w:type="dxa" w:w="2160"/>
          </w:tcPr>
          <w:p>
            <w:r>
              <w:t>Public/projection dependencies and approved rendering/instrumentation stack</w:t>
            </w:r>
          </w:p>
        </w:tc>
        <w:tc>
          <w:tcPr>
            <w:tcW w:type="dxa" w:w="2160"/>
          </w:tcPr>
          <w:p>
            <w:r>
              <w:t>M11 + TD + manifest</w:t>
            </w:r>
          </w:p>
        </w:tc>
        <w:tc>
          <w:tcPr>
            <w:tcW w:type="dxa" w:w="2160"/>
          </w:tcPr>
          <w:p>
            <w:r>
              <w:t>Visibility ≠ authorization</w:t>
            </w:r>
          </w:p>
        </w:tc>
      </w:tr>
      <w:tr>
        <w:tc>
          <w:tcPr>
            <w:tcW w:type="dxa" w:w="2160"/>
          </w:tcPr>
          <w:p>
            <w:r>
              <w:t>Module Dependency Matrix</w:t>
            </w:r>
          </w:p>
        </w:tc>
        <w:tc>
          <w:tcPr>
            <w:tcW w:type="dxa" w:w="2160"/>
          </w:tcPr>
          <w:p>
            <w:r>
              <w:t>Domain-level dependencies and ownership/direction</w:t>
            </w:r>
          </w:p>
        </w:tc>
        <w:tc>
          <w:tcPr>
            <w:tcW w:type="dxa" w:w="2160"/>
          </w:tcPr>
          <w:p>
            <w:r>
              <w:t>STEP09-D + existing v2.1 matrix</w:t>
            </w:r>
          </w:p>
        </w:tc>
        <w:tc>
          <w:tcPr>
            <w:tcW w:type="dxa" w:w="2160"/>
          </w:tcPr>
          <w:p>
            <w:r>
              <w:t>Packages do not create semantic modules</w:t>
            </w:r>
          </w:p>
        </w:tc>
      </w:tr>
    </w:tbl>
    <w:p>
      <w:pPr>
        <w:pStyle w:val="Heading1"/>
      </w:pPr>
      <w:r>
        <w:t>16.2 IMPLEMENTATION / RUNTIME BOUNDARY</w:t>
      </w:r>
    </w:p>
    <w:p>
      <w:r>
        <w:t>Package approval ≠ package installation. Dependency identification ≠ runtime availability. Provider selection ≠ provider connection. API dependency ≠ implemented endpoint. Database dependency ≠ executed migration. Authorization dependency ≠ physical permission seed. Runtime proof remains downstream and is not claimed by STEP09-D.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Manifest</w:t>
            </w:r>
          </w:p>
        </w:tc>
        <w:tc>
          <w:tcPr>
            <w:tcW w:type="dxa" w:w="4320"/>
          </w:tcPr>
          <w:p>
            <w:r>
              <w:t>Current artifact/dependency identity and status</w:t>
            </w:r>
          </w:p>
        </w:tc>
      </w:tr>
      <w:tr>
        <w:tc>
          <w:tcPr>
            <w:tcW w:type="dxa" w:w="4320"/>
          </w:tcPr>
          <w:p>
            <w:r>
              <w:t>Current Project State</w:t>
            </w:r>
          </w:p>
        </w:tc>
        <w:tc>
          <w:tcPr>
            <w:tcW w:type="dxa" w:w="4320"/>
          </w:tcPr>
          <w:p>
            <w:r>
              <w:t>Dependency design vs actual implementation state distinction</w:t>
            </w:r>
          </w:p>
        </w:tc>
      </w:tr>
      <w:tr>
        <w:tc>
          <w:tcPr>
            <w:tcW w:type="dxa" w:w="4320"/>
          </w:tcPr>
          <w:p>
            <w:r>
              <w:t>Business Rules / Traceability</w:t>
            </w:r>
          </w:p>
        </w:tc>
        <w:tc>
          <w:tcPr>
            <w:tcW w:type="dxa" w:w="4320"/>
          </w:tcPr>
          <w:p>
            <w:r>
              <w:t>Technology dependencies must not redefine normative BR</w:t>
            </w:r>
          </w:p>
        </w:tc>
      </w:tr>
      <w:tr>
        <w:tc>
          <w:tcPr>
            <w:tcW w:type="dxa" w:w="4320"/>
          </w:tcPr>
          <w:p>
            <w:r>
              <w:t>PRD</w:t>
            </w:r>
          </w:p>
        </w:tc>
        <w:tc>
          <w:tcPr>
            <w:tcW w:type="dxa" w:w="4320"/>
          </w:tcPr>
          <w:p>
            <w:r>
              <w:t>Product dependency only where technology capability is already governed</w:t>
            </w:r>
          </w:p>
        </w:tc>
      </w:tr>
      <w:tr>
        <w:tc>
          <w:tcPr>
            <w:tcW w:type="dxa" w:w="4320"/>
          </w:tcPr>
          <w:p>
            <w:r>
              <w:t>User Flow</w:t>
            </w:r>
          </w:p>
        </w:tc>
        <w:tc>
          <w:tcPr>
            <w:tcW w:type="dxa" w:w="4320"/>
          </w:tcPr>
          <w:p>
            <w:r>
              <w:t>Provider/authorization dependencies as approved</w:t>
            </w:r>
          </w:p>
        </w:tc>
      </w:tr>
      <w:tr>
        <w:tc>
          <w:tcPr>
            <w:tcW w:type="dxa" w:w="4320"/>
          </w:tcPr>
          <w:p>
            <w:r>
              <w:t>ERD</w:t>
            </w:r>
          </w:p>
        </w:tc>
        <w:tc>
          <w:tcPr>
            <w:tcW w:type="dxa" w:w="4320"/>
          </w:tcPr>
          <w:p>
            <w:r>
              <w:t>Provider-agnostic data boundaries and no package-driven schema invention</w:t>
            </w:r>
          </w:p>
        </w:tc>
      </w:tr>
      <w:tr>
        <w:tc>
          <w:tcPr>
            <w:tcW w:type="dxa" w:w="4320"/>
          </w:tcPr>
          <w:p>
            <w:r>
              <w:t>Database Dictionary</w:t>
            </w:r>
          </w:p>
        </w:tc>
        <w:tc>
          <w:tcPr>
            <w:tcW w:type="dxa" w:w="4320"/>
          </w:tcPr>
          <w:p>
            <w:r>
              <w:t>Logical-to-physical meaning remains downstream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Reconcile to W4-01E/W4-02; no new SQL from manifest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Integration/provider boundaries and server-side secrets</w:t>
            </w:r>
          </w:p>
        </w:tc>
      </w:tr>
      <w:tr>
        <w:tc>
          <w:tcPr>
            <w:tcW w:type="dxa" w:w="4320"/>
          </w:tcPr>
          <w:p>
            <w:r>
              <w:t>RBAC/RLS</w:t>
            </w:r>
          </w:p>
        </w:tc>
        <w:tc>
          <w:tcPr>
            <w:tcW w:type="dxa" w:w="4320"/>
          </w:tcPr>
          <w:p>
            <w:r>
              <w:t>Authorization remains separate from package/tool dependencies</w:t>
            </w:r>
          </w:p>
        </w:tc>
      </w:tr>
      <w:tr>
        <w:tc>
          <w:tcPr>
            <w:tcW w:type="dxa" w:w="4320"/>
          </w:tcPr>
          <w:p>
            <w:r>
              <w:t>Functional/Technical Specification</w:t>
            </w:r>
          </w:p>
        </w:tc>
        <w:tc>
          <w:tcPr>
            <w:tcW w:type="dxa" w:w="4320"/>
          </w:tcPr>
          <w:p>
            <w:r>
              <w:t>Consume approved stack, not historical candidates</w:t>
            </w:r>
          </w:p>
        </w:tc>
      </w:tr>
      <w:tr>
        <w:tc>
          <w:tcPr>
            <w:tcW w:type="dxa" w:w="4320"/>
          </w:tcPr>
          <w:p>
            <w:r>
              <w:t>Module Dependency Matrix</w:t>
            </w:r>
          </w:p>
        </w:tc>
        <w:tc>
          <w:tcPr>
            <w:tcW w:type="dxa" w:w="4320"/>
          </w:tcPr>
          <w:p>
            <w:r>
              <w:t>Use domain dependencies; packages do not create semantic modules</w:t>
            </w:r>
          </w:p>
        </w:tc>
      </w:tr>
    </w:tbl>
    <w:p>
      <w:pPr>
        <w:pStyle w:val="Heading1"/>
      </w:pPr>
      <w:r>
        <w:t>17. PHYSICAL / MIGRATION BOUNDARY</w:t>
      </w:r>
    </w:p>
    <w:p>
      <w:r>
        <w:t>Legacy database / migrations / RLS / seed / runtime</w:t>
      </w:r>
    </w:p>
    <w:p>
      <w:r>
        <w:t xml:space="preserve">                = HISTORY / PROVENANCE ONLY</w:t>
      </w:r>
    </w:p>
    <w:p>
      <w:r>
        <w:t>W4-01E</w:t>
      </w:r>
    </w:p>
    <w:p>
      <w:r>
        <w:t xml:space="preserve">                = FROZEN PHYSICAL DESIGN</w:t>
      </w:r>
    </w:p>
    <w:p>
      <w:r>
        <w:t>W4-02</w:t>
      </w:r>
    </w:p>
    <w:p>
      <w:r>
        <w:t xml:space="preserve">                = SOLE CURRENT EXECUTABLE PHYSICAL BASELINE</w:t>
      </w:r>
    </w:p>
    <w:p>
      <w:r>
        <w:t>Fresh / empty database</w:t>
      </w:r>
    </w:p>
    <w:p>
      <w:r>
        <w:t xml:space="preserve">                ↓</w:t>
      </w:r>
    </w:p>
    <w:p>
      <w:r>
        <w:t>W4-02</w:t>
      </w:r>
    </w:p>
    <w:p>
      <w:r>
        <w:t xml:space="preserve">                ↓</w:t>
      </w:r>
    </w:p>
    <w:p>
      <w:r>
        <w:t>W4-03 runtime verification</w:t>
      </w:r>
    </w:p>
    <w:p>
      <w:r>
        <w:t>Do not use the legacy database as execution starting point.</w:t>
      </w:r>
    </w:p>
    <w:p>
      <w:r>
        <w:t>Do not create a new migration merely because Dependency Manifest is being consolidated.</w:t>
      </w:r>
    </w:p>
    <w:p>
      <w:r>
        <w:t>If a dependency implies a real physical-schema change, STOP and classify the change; do not silently alter W4-02.</w:t>
      </w:r>
    </w:p>
    <w:p>
      <w:pPr>
        <w:pStyle w:val="Heading1"/>
      </w:pPr>
      <w:r>
        <w:t>18. CURRENT CONTROLLED RESIDUALS / RE-ENTRY RECORD</w:t>
      </w:r>
    </w:p>
    <w:p>
      <w:r>
        <w:t>STEP09-D RECONCILIATION NOTE</w:t>
      </w:r>
    </w:p>
    <w:p>
      <w:r>
        <w:t>The previous Dependency Manifest v1.9 contained stale current-state labels for Constitution v1.14 and Architecture v1.8 in current authority tables/lines. These have been synchronized to Constitution v1.17 and Architecture v1.9. Historical predecessor references to Dependency Manifest v1.8 remain historical/provenance and are not rewritten.</w:t>
      </w:r>
    </w:p>
    <w:p>
      <w:r>
        <w:t>The M01–M15 dependency evidence confirms the canonical boundaries: M03 retains Listing/Refresh authority; M14 retains commercial entitlement/quota/payment authority; M04 retains Learning authority; M15 retains Qualification/Awarding authority; M10 retains authorization; M11 remains discovery/measurement; M08 remains projection/communication; M09 remains administrative configuration/control; M13 remains provider catalogue/BYOK governance.</w:t>
      </w:r>
    </w:p>
    <w:p>
      <w:r>
        <w:t>No new Owner-level decision was invented. No valid predecessor dependency content was removed. Physical schema, exact API payloads, permission IDs/RLS, provider operational state, installation, migration and runtime remain downstream controlled residuals.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Exact package minor/patch versions</w:t>
            </w:r>
          </w:p>
        </w:tc>
        <w:tc>
          <w:tcPr>
            <w:tcW w:type="dxa" w:w="4320"/>
          </w:tcPr>
          <w:p>
            <w:r>
              <w:t>Lockfile / installation evidence downstream</w:t>
            </w:r>
          </w:p>
        </w:tc>
      </w:tr>
      <w:tr>
        <w:tc>
          <w:tcPr>
            <w:tcW w:type="dxa" w:w="4320"/>
          </w:tcPr>
          <w:p>
            <w:r>
              <w:t>Actual installed package state</w:t>
            </w:r>
          </w:p>
        </w:tc>
        <w:tc>
          <w:tcPr>
            <w:tcW w:type="dxa" w:w="4320"/>
          </w:tcPr>
          <w:p>
            <w:r>
              <w:t>Repository/runtime evidence downstream</w:t>
            </w:r>
          </w:p>
        </w:tc>
      </w:tr>
      <w:tr>
        <w:tc>
          <w:tcPr>
            <w:tcW w:type="dxa" w:w="4320"/>
          </w:tcPr>
          <w:p>
            <w:r>
              <w:t>Provider OAuth/account/plan/quota</w:t>
            </w:r>
          </w:p>
        </w:tc>
        <w:tc>
          <w:tcPr>
            <w:tcW w:type="dxa" w:w="4320"/>
          </w:tcPr>
          <w:p>
            <w:r>
              <w:t>Operational/provider evidence downstream</w:t>
            </w:r>
          </w:p>
        </w:tc>
      </w:tr>
      <w:tr>
        <w:tc>
          <w:tcPr>
            <w:tcW w:type="dxa" w:w="4320"/>
          </w:tcPr>
          <w:p>
            <w:r>
              <w:t>Exact API endpoints/payloads</w:t>
            </w:r>
          </w:p>
        </w:tc>
        <w:tc>
          <w:tcPr>
            <w:tcW w:type="dxa" w:w="4320"/>
          </w:tcPr>
          <w:p>
            <w:r>
              <w:t>API contract downstream</w:t>
            </w:r>
          </w:p>
        </w:tc>
      </w:tr>
      <w:tr>
        <w:tc>
          <w:tcPr>
            <w:tcW w:type="dxa" w:w="4320"/>
          </w:tcPr>
          <w:p>
            <w:r>
              <w:t>Exact permission IDs / RLS SQL</w:t>
            </w:r>
          </w:p>
        </w:tc>
        <w:tc>
          <w:tcPr>
            <w:tcW w:type="dxa" w:w="4320"/>
          </w:tcPr>
          <w:p>
            <w:r>
              <w:t>Authorization downstream</w:t>
            </w:r>
          </w:p>
        </w:tc>
      </w:tr>
      <w:tr>
        <w:tc>
          <w:tcPr>
            <w:tcW w:type="dxa" w:w="4320"/>
          </w:tcPr>
          <w:p>
            <w:r>
              <w:t>Exact physical schema changes</w:t>
            </w:r>
          </w:p>
        </w:tc>
        <w:tc>
          <w:tcPr>
            <w:tcW w:type="dxa" w:w="4320"/>
          </w:tcPr>
          <w:p>
            <w:r>
              <w:t>ERD/Dictionary/Schema + W4-01E/W4-02 reconciliation</w:t>
            </w:r>
          </w:p>
        </w:tc>
      </w:tr>
      <w:tr>
        <w:tc>
          <w:tcPr>
            <w:tcW w:type="dxa" w:w="4320"/>
          </w:tcPr>
          <w:p>
            <w:r>
              <w:t>Runtime verification</w:t>
            </w:r>
          </w:p>
        </w:tc>
        <w:tc>
          <w:tcPr>
            <w:tcW w:type="dxa" w:w="4320"/>
          </w:tcPr>
          <w:p>
            <w:r>
              <w:t>W4-03</w:t>
            </w:r>
          </w:p>
        </w:tc>
      </w:tr>
      <w:tr>
        <w:tc>
          <w:tcPr>
            <w:tcW w:type="dxa" w:w="4320"/>
          </w:tcPr>
          <w:p>
            <w:r>
              <w:t>Production authorization</w:t>
            </w:r>
          </w:p>
        </w:tc>
        <w:tc>
          <w:tcPr>
            <w:tcW w:type="dxa" w:w="4320"/>
          </w:tcPr>
          <w:p>
            <w:r>
              <w:t>W4-02A.7 / release gate</w:t>
            </w:r>
          </w:p>
        </w:tc>
      </w:tr>
    </w:tbl>
    <w:p>
      <w:r>
        <w:t>These are controlled downstream residuals, not new Owner decisions. No current Owner-level MADCR/OD is unresolved for this dependency gate. The prior STEP09-D directional dependency omissions are closed by this controlled re-entry.</w:t>
      </w:r>
    </w:p>
    <w:p>
      <w:pPr>
        <w:pStyle w:val="Heading1"/>
      </w:pPr>
      <w:r>
        <w:t>19. HISTORICAL / SUPERSEDED PACKAGE STATES</w:t>
      </w:r>
    </w:p>
    <w:p>
      <w:r>
        <w:t>The older dependency manifest contained a Google Maps package candidate and unresolved Maps package selection; that is historical.</w:t>
      </w:r>
    </w:p>
    <w:p>
      <w:r>
        <w:t>Older manifest versions carried OPEN Search/Cache/Job Queue package questions; current approved ADR consequences supersede those candidate states.</w:t>
      </w:r>
    </w:p>
    <w:p>
      <w:r>
        <w:t>Older manifest versions treated MBR-COM-001–013 as evidence/provenance gaps; current state is CLOSED — OWNER APPROVED.</w:t>
      </w:r>
    </w:p>
    <w:p>
      <w:r>
        <w:t>Older versions predate current Learning Economy / Learning Session / Awarding / Commercial dependency consequences and remain provenance.</w:t>
      </w:r>
    </w:p>
    <w:p>
      <w:r>
        <w:t>Historical package names must not be installed solely because they appear in old documentation.</w:t>
      </w:r>
    </w:p>
    <w:p>
      <w:pPr>
        <w:pStyle w:val="Heading1"/>
      </w:pPr>
      <w:r>
        <w:t>20. SOURCE AUDIT / DEPENDENCY EVIDENCE</w:t>
      </w:r>
    </w:p>
    <w:p>
      <w:r>
        <w:t>The predecessor v1.8 audit reported recursive inspection of the uploaded project corpus, 476 discovered files, 437 text-bearing files and 0 unresolved Owner-level MADCR/OD, with Dependency Manifest result PASS. That audit is retained as predecessor evidence; this W4-02A.6.7 gate performs the mandatory new carry-forward audit rather than treating the predecessor audit as a substitute. fileciteturn32file12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Predecessor v1.8 source audit</w:t>
            </w:r>
          </w:p>
        </w:tc>
        <w:tc>
          <w:tcPr>
            <w:tcW w:type="dxa" w:w="4320"/>
          </w:tcPr>
          <w:p>
            <w:r>
              <w:t>Historical/provenance evidence retained</w:t>
            </w:r>
          </w:p>
        </w:tc>
      </w:tr>
      <w:tr>
        <w:tc>
          <w:tcPr>
            <w:tcW w:type="dxa" w:w="4320"/>
          </w:tcPr>
          <w:p>
            <w:r>
              <w:t>Current 6.1–6.6 canonical artifacts</w:t>
            </w:r>
          </w:p>
        </w:tc>
        <w:tc>
          <w:tcPr>
            <w:tcW w:type="dxa" w:w="4320"/>
          </w:tcPr>
          <w:p>
            <w:r>
              <w:t>Current dependency authority inputs</w:t>
            </w:r>
          </w:p>
        </w:tc>
      </w:tr>
      <w:tr>
        <w:tc>
          <w:tcPr>
            <w:tcW w:type="dxa" w:w="4320"/>
          </w:tcPr>
          <w:p>
            <w:r>
              <w:t>W4-02A.5R revalidation</w:t>
            </w:r>
          </w:p>
        </w:tc>
        <w:tc>
          <w:tcPr>
            <w:tcW w:type="dxa" w:w="4320"/>
          </w:tcPr>
          <w:p>
            <w:r>
              <w:t>Current closure evidence</w:t>
            </w:r>
          </w:p>
        </w:tc>
      </w:tr>
      <w:tr>
        <w:tc>
          <w:tcPr>
            <w:tcW w:type="dxa" w:w="4320"/>
          </w:tcPr>
          <w:p>
            <w:r>
              <w:t>W4-01E / W4-02</w:t>
            </w:r>
          </w:p>
        </w:tc>
        <w:tc>
          <w:tcPr>
            <w:tcW w:type="dxa" w:w="4320"/>
          </w:tcPr>
          <w:p>
            <w:r>
              <w:t>Physical authority</w:t>
            </w:r>
          </w:p>
        </w:tc>
      </w:tr>
      <w:tr>
        <w:tc>
          <w:tcPr>
            <w:tcW w:type="dxa" w:w="4320"/>
          </w:tcPr>
          <w:p>
            <w:r>
              <w:t>Package installation state</w:t>
            </w:r>
          </w:p>
        </w:tc>
        <w:tc>
          <w:tcPr>
            <w:tcW w:type="dxa" w:w="4320"/>
          </w:tcPr>
          <w:p>
            <w:r>
              <w:t>Not claimed</w:t>
            </w:r>
          </w:p>
        </w:tc>
      </w:tr>
    </w:tbl>
    <w:p>
      <w:pPr>
        <w:pStyle w:val="Heading1"/>
      </w:pPr>
      <w:r>
        <w:t>21. CARRY-FORWARD AUDIT — W4-02A.6.7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Predecessor artifact</w:t>
            </w:r>
          </w:p>
        </w:tc>
        <w:tc>
          <w:tcPr>
            <w:tcW w:type="dxa" w:w="4320"/>
          </w:tcPr>
          <w:p>
            <w:r>
              <w:t>RUMAHAGEN_DEPENDENCY_MANIFEST_v1.8_FINAL_UPDATED</w:t>
            </w:r>
          </w:p>
        </w:tc>
      </w:tr>
      <w:tr>
        <w:tc>
          <w:tcPr>
            <w:tcW w:type="dxa" w:w="4320"/>
          </w:tcPr>
          <w:p>
            <w:r>
              <w:t>New artifact</w:t>
            </w:r>
          </w:p>
        </w:tc>
        <w:tc>
          <w:tcPr>
            <w:tcW w:type="dxa" w:w="4320"/>
          </w:tcPr>
          <w:p>
            <w:r>
              <w:t>RUMAHAGEN_W4-02A.6.7_DEPENDENCY_MANIFEST_FULL_CONSOLIDATED_v1.9</w:t>
            </w:r>
          </w:p>
        </w:tc>
      </w:tr>
      <w:tr>
        <w:tc>
          <w:tcPr>
            <w:tcW w:type="dxa" w:w="4320"/>
          </w:tcPr>
          <w:p>
            <w:r>
              <w:t>Content units reviewed</w:t>
            </w:r>
          </w:p>
        </w:tc>
        <w:tc>
          <w:tcPr>
            <w:tcW w:type="dxa" w:w="4320"/>
          </w:tcPr>
          <w:p>
            <w:r>
              <w:t>21 predecessor major sections/metadata units: purpose, source authority, historical sources, decision freeze, dependency catalogue, external dependencies, document graph, AI reading/order, installation priority, architecture constraints, change control, version/baseline rules, audit/gate, current consequences, downstream contract and residual/provenance boundaries</w:t>
            </w:r>
          </w:p>
        </w:tc>
      </w:tr>
      <w:tr>
        <w:tc>
          <w:tcPr>
            <w:tcW w:type="dxa" w:w="4320"/>
          </w:tcPr>
          <w:p>
            <w:r>
              <w:t>CARRY FORWARD</w:t>
            </w:r>
          </w:p>
        </w:tc>
        <w:tc>
          <w:tcPr>
            <w:tcW w:type="dxa" w:w="4320"/>
          </w:tcPr>
          <w:p>
            <w:r>
              <w:t>Purpose, authority hierarchy, dependency catalogue, external/provider dependencies, document dependency graph, AI/developer guidance, change-control model, version/baseline separation, implementation boundary, historical/provenance rules and downstream dependency contract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Current Constitution v1.17; Governance v1.16; System Architecture v1.9; Technical Decisions v1.6; Decision Log/Changelog v1.0; current Learning/Session/Awarding/Commercial/Payment consequences; Midtrans MVP; MBR-COM-001–013 closure</w:t>
            </w:r>
          </w:p>
        </w:tc>
      </w:tr>
      <w:tr>
        <w:tc>
          <w:tcPr>
            <w:tcW w:type="dxa" w:w="4320"/>
          </w:tcPr>
          <w:p>
            <w:r>
              <w:t>SUPERSEDE</w:t>
            </w:r>
          </w:p>
        </w:tc>
        <w:tc>
          <w:tcPr>
            <w:tcW w:type="dxa" w:w="4320"/>
          </w:tcPr>
          <w:p>
            <w:r>
              <w:t>Stale current-state package candidates, old Google Maps candidate wording, pre-closure MBR evidence-gap interpretation and other superseded OPEN/provisional states</w:t>
            </w:r>
          </w:p>
        </w:tc>
      </w:tr>
      <w:tr>
        <w:tc>
          <w:tcPr>
            <w:tcW w:type="dxa" w:w="4320"/>
          </w:tcPr>
          <w:p>
            <w:r>
              <w:t>HISTORICAL / PROVENANCE</w:t>
            </w:r>
          </w:p>
        </w:tc>
        <w:tc>
          <w:tcPr>
            <w:tcW w:type="dxa" w:w="4320"/>
          </w:tcPr>
          <w:p>
            <w:r>
              <w:t>Legacy v1.6/v1.7 manifest lineage, older package candidates, historical decision states and predecessor audit</w:t>
            </w:r>
          </w:p>
        </w:tc>
      </w:tr>
      <w:tr>
        <w:tc>
          <w:tcPr>
            <w:tcW w:type="dxa" w:w="4320"/>
          </w:tcPr>
          <w:p>
            <w:r>
              <w:t>REMOVED</w:t>
            </w:r>
          </w:p>
        </w:tc>
        <w:tc>
          <w:tcPr>
            <w:tcW w:type="dxa" w:w="4320"/>
          </w:tcPr>
          <w:p>
            <w:r>
              <w:t>0 valid predecessor dependency content removed</w:t>
            </w:r>
          </w:p>
        </w:tc>
      </w:tr>
      <w:tr>
        <w:tc>
          <w:tcPr>
            <w:tcW w:type="dxa" w:w="4320"/>
          </w:tcPr>
          <w:p>
            <w:r>
              <w:t>Missing valid content</w:t>
            </w:r>
          </w:p>
        </w:tc>
        <w:tc>
          <w:tcPr>
            <w:tcW w:type="dxa" w:w="4320"/>
          </w:tcPr>
          <w:p>
            <w:r>
              <w:t>0 identified</w:t>
            </w:r>
          </w:p>
        </w:tc>
      </w:tr>
      <w:tr>
        <w:tc>
          <w:tcPr>
            <w:tcW w:type="dxa" w:w="4320"/>
          </w:tcPr>
          <w:p>
            <w:r>
              <w:t>Untraced new substantive dependency</w:t>
            </w:r>
          </w:p>
        </w:tc>
        <w:tc>
          <w:tcPr>
            <w:tcW w:type="dxa" w:w="4320"/>
          </w:tcPr>
          <w:p>
            <w:r>
              <w:t>0 after re-entry; all current M01–M15 dependency classes mapped or controlled</w:t>
            </w:r>
          </w:p>
        </w:tc>
      </w:tr>
      <w:tr>
        <w:tc>
          <w:tcPr>
            <w:tcW w:type="dxa" w:w="4320"/>
          </w:tcPr>
          <w:p>
            <w:r>
              <w:t>Material conflict</w:t>
            </w:r>
          </w:p>
        </w:tc>
        <w:tc>
          <w:tcPr>
            <w:tcW w:type="dxa" w:w="4320"/>
          </w:tcPr>
          <w:p>
            <w:r>
              <w:t>0 unresolved semantic dependency conflict after re-entry</w:t>
            </w:r>
          </w:p>
        </w:tc>
      </w:tr>
      <w:tr>
        <w:tc>
          <w:tcPr>
            <w:tcW w:type="dxa" w:w="4320"/>
          </w:tcPr>
          <w:p>
            <w:r>
              <w:t>Owner decision required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Mandatory Carry-Forward Audit and controlled re-entry audit were completed before the final PASS gate. No patch, append, or addendum was produced. The artifact is a full current source file. fileciteturn26file0</w:t>
      </w:r>
    </w:p>
    <w:p>
      <w:pPr>
        <w:pStyle w:val="Heading1"/>
      </w:pPr>
      <w:r>
        <w:t>22. CROSS-DOMAIN DEPENDENCY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Agent / Organization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Listing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Learning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Awarding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Commercial / Payment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Entitlement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RBAC / Permission / RLS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ERD / Database Schema</w:t>
            </w:r>
          </w:p>
        </w:tc>
        <w:tc>
          <w:tcPr>
            <w:tcW w:type="dxa" w:w="4320"/>
          </w:tcPr>
          <w:p>
            <w:r>
              <w:t>GREEN — dependency boundary only; no physical change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</w:tbl>
    <w:p>
      <w:r>
        <w:t>No dependency direction introduced by this artifact conflicts with the locked 6.13 → 6.14 → 6.15 → 6.16 → 6.17 database/contract chain. fileciteturn28file2</w:t>
      </w:r>
    </w:p>
    <w:p>
      <w:pPr>
        <w:pStyle w:val="Heading1"/>
      </w:pPr>
      <w:r>
        <w:t>23. INTERNAL RECONCILIATION / GREEN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predecessor content preserved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Current package/dependency catalogue synchronized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Document dependency graph synchronized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Current technology decisions consumed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Current architecture consumed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Current governance consumed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Current closed decision set consumed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Historical/provenance boundary explicit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W4-01E / W4-02 physical authority preserved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No package installation/runtime claim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No new architecture decision invented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  <w:tr>
        <w:tc>
          <w:tcPr>
            <w:tcW w:type="dxa" w:w="4320"/>
          </w:tcPr>
          <w:p>
            <w:r>
              <w:t>No unresolved Owner decision</w:t>
            </w:r>
          </w:p>
        </w:tc>
        <w:tc>
          <w:tcPr>
            <w:tcW w:type="dxa" w:w="4320"/>
          </w:tcPr>
          <w:p>
            <w:r>
              <w:t>GREEN</w:t>
            </w:r>
          </w:p>
        </w:tc>
      </w:tr>
    </w:tbl>
    <w:p>
      <w:r>
        <w:t>STEP STATUS = COMPLETE / GREEN</w:t>
      </w:r>
    </w:p>
    <w:p>
      <w:r>
        <w:t>DEPENDENCY MANIFEST v1.9 = CURRENT CANONICAL FULL CONSOLIDATED</w:t>
      </w:r>
    </w:p>
    <w:p>
      <w:pPr>
        <w:pStyle w:val="Heading1"/>
      </w:pPr>
      <w:r>
        <w:t>24. CANONICALITY DECLARATION</w:t>
      </w:r>
    </w:p>
    <w:p>
      <w:r>
        <w:t>Current authority: DEPENDENCY MANIFEST v1.9 — W4-02A.6.7 CURRENT CANONICAL, synchronized through STEP09-D.</w:t>
      </w:r>
    </w:p>
    <w:p>
      <w:r>
        <w:t>Legacy dependency-manifest v1.6/v1.7 remains historical/provenance.</w:t>
      </w:r>
    </w:p>
    <w:p>
      <w:r>
        <w:t>Dependency Manifest v1.8 is the immediate predecessor and is fully absorbed/reconciled.</w:t>
      </w:r>
    </w:p>
    <w:p>
      <w:r>
        <w:t>Current implementers must consume v1.9 rather than historical candidate/addendum manifests.</w:t>
      </w:r>
    </w:p>
    <w:p>
      <w:r>
        <w:t>Package installation and runtime state remain separately evidenced downstream.</w:t>
      </w:r>
    </w:p>
    <w:p>
      <w:r>
        <w:t>Dependency Manifest does not authorize physical migration or production deployment.</w:t>
      </w:r>
    </w:p>
    <w:p>
      <w:pPr>
        <w:pStyle w:val="Heading1"/>
      </w:pPr>
      <w:r>
        <w:t>25. NEXT STEP</w:t>
      </w:r>
    </w:p>
    <w:p>
      <w:r>
        <w:t>NEXT STEP = W4-02A.6.8 — PROJECT MANIFEST — INITIAL CONSOLIDATION</w:t>
      </w:r>
    </w:p>
    <w:p>
      <w:r>
        <w:t>Execution stops here. No work from W4-02A.6.8 or later is performed in this artifact.</w:t>
      </w:r>
    </w:p>
    <w:p>
      <w:r>
        <w:t>END OF RUMAHAGEN — W4-02A.6.7 DEPENDENCY MANIFEST FULL CONSOLIDATION</w:t>
      </w:r>
    </w:p>
    <w:p>
      <w:pPr>
        <w:pStyle w:val="Heading1"/>
      </w:pPr>
      <w:r>
        <w:t>24. STEP09-D CONTROLLED RE-ENTRY FINAL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Parent STEP09-D status</w:t>
            </w:r>
          </w:p>
        </w:tc>
        <w:tc>
          <w:tcPr>
            <w:tcW w:type="dxa" w:w="4320"/>
          </w:tcPr>
          <w:p>
            <w:r>
              <w:t>RE-OPENED → CONTROLLED RE-ENTRY → PASS</w:t>
            </w:r>
          </w:p>
        </w:tc>
      </w:tr>
      <w:tr>
        <w:tc>
          <w:tcPr>
            <w:tcW w:type="dxa" w:w="4320"/>
          </w:tcPr>
          <w:p>
            <w:r>
              <w:t>Full predecessor Dependency Manifest content preserved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All nine identified directional/provider/conditional dependency gaps reconciled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M02 → M03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M04 → M02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M03 → M12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M04 → M12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M14 → M12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M04 → M05 explicit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M13 → M04 controlled provider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M13 → M05 controlled provider dependency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M03 Maps optional/conditional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Authority ownership preserved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circular authority introduced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current stale Constitution/Architecture authority reference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 Owner-level new decision invented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Physical/runtime claims remain downstream controlled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Provenance and re-entry record complete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r>
        <w:t>This final gate supersedes the earlier STEP09-D green gate only to the extent required by the controlled re-entry. The formal Dependency Manifest version remains **v1.9**; the correction is recorded as a STEP09-D synchronization re-entry, not a formal version invention.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