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PROJECT CONSTITUTION</w:t>
      </w:r>
    </w:p>
    <w:p>
      <w:pPr>
        <w:pStyle w:val="Heading2"/>
      </w:pPr>
      <w:r/>
    </w:p>
    <w:p>
      <w:pPr>
        <w:spacing w:after="80"/>
      </w:pPr>
      <w:r>
        <w:rPr>
          <w:b/>
        </w:rPr>
        <w:t>Date: 03 September 2026</w:t>
      </w:r>
      <w:r/>
    </w:p>
    <w:p>
      <w:pPr>
        <w:spacing w:after="80"/>
      </w:pPr>
      <w:r>
        <w:rPr>
          <w:b/>
        </w:rPr>
        <w:t>Status:</w:t>
      </w:r>
      <w:r>
        <w:t xml:space="preserve"> </w:t>
      </w:r>
      <w:r>
        <w:rPr>
          <w:b/>
        </w:rPr>
        <w:t>CURRENT CANONICAL — GOVERNING</w:t>
      </w:r>
      <w:r>
        <w:t xml:space="preserve">  </w:t>
      </w:r>
    </w:p>
    <w:p>
      <w:pPr>
        <w:spacing w:after="80"/>
      </w:pPr>
      <w:r>
        <w:rPr>
          <w:b/>
        </w:rPr>
      </w:r>
      <w:r/>
      <w:r>
        <w:rPr>
          <w:rFonts w:ascii="Consolas" w:hAnsi="Consolas"/>
          <w:sz w:val="17"/>
        </w:rPr>
      </w:r>
      <w:r/>
    </w:p>
    <w:p>
      <w:pPr>
        <w:spacing w:after="80"/>
      </w:pPr>
      <w:r>
        <w:rPr>
          <w:b/>
        </w:rPr>
        <w:t>Revision type: Controlled semantic/governance synchronization from v1.14 + approved STEP07/07-A/08 authority deltas; valid detail preserved</w:t>
      </w:r>
      <w:r/>
    </w:p>
    <w:p>
      <w:pPr>
        <w:spacing w:after="80"/>
      </w:pPr>
      <w:r>
        <w:rPr>
          <w:b/>
        </w:rPr>
        <w:t>Scope:</w:t>
      </w:r>
      <w:r>
        <w:t xml:space="preserve"> W4-02A.6.1 full Project Constitution consolidation using refreshed wa1-W4 corpus, current governing decisions, and mandatory carry-forward audit  </w:t>
      </w:r>
    </w:p>
    <w:p>
      <w:pPr>
        <w:spacing w:after="80"/>
      </w:pPr>
      <w:r>
        <w:rPr>
          <w:b/>
        </w:rPr>
        <w:t>Repository promotion:</w:t>
      </w:r>
      <w:r>
        <w:t xml:space="preserve"> Separate owner-managed operation  </w:t>
      </w:r>
    </w:p>
    <w:p>
      <w:pPr>
        <w:spacing w:after="80"/>
      </w:pPr>
      <w:r>
        <w:rPr>
          <w:b/>
        </w:rPr>
        <w:t>Physical implementation authorization:</w:t>
      </w:r>
      <w:r>
        <w:t xml:space="preserve"> NOT GRANTED</w:t>
      </w:r>
    </w:p>
    <w:p>
      <w:pPr>
        <w:ind w:left="360"/>
      </w:pPr>
      <w:r>
        <w:rPr>
          <w:i/>
        </w:rPr>
        <w:t>This document is the single current Project Constitution authority. Historical Constitution versions remain provenance and are not rewritten.</w:t>
      </w:r>
    </w:p>
    <w:p>
      <w:pPr>
        <w:pStyle w:val="Heading1"/>
      </w:pPr>
      <w:r>
        <w:t>1. PURPOSE AND PROJECT NORTH STAR</w:t>
      </w:r>
    </w:p>
    <w:p>
      <w:pPr>
        <w:spacing w:after="80"/>
      </w:pPr>
      <w:r>
        <w:t>RumahAgen is an Indonesia-focused PropTech / Real Estate Agency SaaS platform.</w:t>
      </w:r>
    </w:p>
    <w:p>
      <w:pPr>
        <w:spacing w:after="80"/>
      </w:pPr>
      <w:r>
        <w:t>The governing engineering objective is:</w:t>
      </w:r>
    </w:p>
    <w:p>
      <w:pPr>
        <w:ind w:left="360"/>
      </w:pPr>
      <w:r>
        <w:rPr>
          <w:i/>
        </w:rPr>
        <w:t>**Synchronize the approved MAEP and Master Business Rules across the RumahAgen project corpus and actual Development reality until one coherent, traceable, authority-aware canonical state exists.**</w:t>
      </w:r>
    </w:p>
    <w:p>
      <w:pPr>
        <w:spacing w:after="80"/>
      </w:pPr>
      <w:r>
        <w:t>Technical execution follows that synchronized baseline; physical/runtime reality must be verified independently.</w:t>
      </w:r>
    </w:p>
    <w:p>
      <w:pPr>
        <w:spacing w:after="80"/>
      </w:pPr>
      <w:r>
        <w:t>The system objective includes:</w:t>
      </w:r>
    </w:p>
    <w:p>
      <w:pPr>
        <w:pStyle w:val="ListNumber"/>
      </w:pPr>
      <w:r>
        <w:t>agent onboarding and administration;</w:t>
      </w:r>
    </w:p>
    <w:p>
      <w:pPr>
        <w:pStyle w:val="ListNumber"/>
      </w:pPr>
      <w:r>
        <w:t>professional agent profiles;</w:t>
      </w:r>
    </w:p>
    <w:p>
      <w:pPr>
        <w:pStyle w:val="ListNumber"/>
      </w:pPr>
      <w:r>
        <w:t>property listing management and public discovery;</w:t>
      </w:r>
    </w:p>
    <w:p>
      <w:pPr>
        <w:pStyle w:val="ListNumber"/>
      </w:pPr>
      <w:r>
        <w:t>Learning Center / Learning Economy;</w:t>
      </w:r>
    </w:p>
    <w:p>
      <w:pPr>
        <w:pStyle w:val="ListNumber"/>
      </w:pPr>
      <w:r>
        <w:t>developer/project collaboration;</w:t>
      </w:r>
    </w:p>
    <w:p>
      <w:pPr>
        <w:pStyle w:val="ListNumber"/>
      </w:pPr>
      <w:r>
        <w:t>KPR/DBR/DSR tooling;</w:t>
      </w:r>
    </w:p>
    <w:p>
      <w:pPr>
        <w:pStyle w:val="ListNumber"/>
      </w:pPr>
      <w:r>
        <w:t>public SEO/shareability;</w:t>
      </w:r>
    </w:p>
    <w:p>
      <w:pPr>
        <w:pStyle w:val="ListNumber"/>
      </w:pPr>
      <w:r>
        <w:t>commercial/monetization capabilities;</w:t>
      </w:r>
    </w:p>
    <w:p>
      <w:pPr>
        <w:pStyle w:val="ListNumber"/>
      </w:pPr>
      <w:r>
        <w:t>Learning Session capability;</w:t>
      </w:r>
    </w:p>
    <w:p>
      <w:pPr>
        <w:pStyle w:val="ListNumber"/>
      </w:pPr>
      <w:r>
        <w:t>awarding/credential-related capabilities.</w:t>
      </w:r>
    </w:p>
    <w:p>
      <w:pPr>
        <w:spacing w:after="80"/>
      </w:pPr>
      <w:r>
        <w:t>The project remains a single coherent platform. No new subsystem is created merely to reconcile documentation.</w:t>
      </w:r>
    </w:p>
    <w:p>
      <w:pPr>
        <w:pStyle w:val="Heading1"/>
      </w:pPr>
      <w:r>
        <w:t>2. GOVERNING AUTHORITY</w:t>
      </w:r>
    </w:p>
    <w:p>
      <w:pPr>
        <w:pStyle w:val="Heading2"/>
      </w:pPr>
      <w:r>
        <w:t>2.1 Semantic authority</w:t>
      </w:r>
    </w:p>
    <w:p>
      <w:pPr>
        <w:spacing w:after="80"/>
      </w:pPr>
      <w:r>
        <w:t>The authority chain is:</w:t>
      </w:r>
    </w:p>
    <w:p>
      <w:pPr>
        <w:spacing w:after="80"/>
      </w:pPr>
      <w:r>
        <w:t>```text</w:t>
      </w:r>
    </w:p>
    <w:p>
      <w:pPr>
        <w:spacing w:after="80"/>
      </w:pPr>
      <w:r>
        <w:t>Approved MADCR / ADR</w:t>
      </w:r>
    </w:p>
    <w:p>
      <w:pPr>
        <w:spacing w:after="80"/>
      </w:pPr>
      <w:r>
        <w:t xml:space="preserve">        ↓</w:t>
      </w:r>
    </w:p>
    <w:p>
      <w:pPr>
        <w:spacing w:after="80"/>
      </w:pPr>
      <w:r>
        <w:t>MAEP / approved AEP decisions</w:t>
      </w:r>
    </w:p>
    <w:p>
      <w:pPr>
        <w:spacing w:after="80"/>
      </w:pPr>
      <w:r>
        <w:t xml:space="preserve">        ↓</w:t>
      </w:r>
    </w:p>
    <w:p>
      <w:pPr>
        <w:spacing w:after="80"/>
      </w:pPr>
      <w:r>
        <w:t>Master Business Rules BR-001…BR-151</w:t>
      </w:r>
    </w:p>
    <w:p>
      <w:pPr>
        <w:spacing w:after="80"/>
      </w:pPr>
      <w:r>
        <w:t xml:space="preserve">        ↓</w:t>
      </w:r>
    </w:p>
    <w:p>
      <w:pPr>
        <w:spacing w:after="80"/>
      </w:pPr>
      <w:r>
        <w:t>Current Canonical downstream artifacts</w:t>
      </w:r>
    </w:p>
    <w:p>
      <w:pPr>
        <w:ind w:left="288"/>
      </w:pPr>
      <w:r>
        <w:rPr>
          <w:rFonts w:ascii="Consolas" w:hAnsi="Consolas"/>
          <w:sz w:val="16"/>
        </w:rPr>
        <w:br/>
        <w:t>AEP documents are controlled translation/impact/provenance artifacts, not independent competing sources of truth.</w:t>
        <w:br/>
        <w:br/>
        <w:t>## 2.2 Physical/runtime authority</w:t>
        <w:br/>
        <w:br/>
        <w:t>```text</w:t>
        <w:br/>
        <w:t>Canonical semantic decision</w:t>
        <w:br/>
        <w:t xml:space="preserve">        ↓</w:t>
        <w:br/>
        <w:t>Intended physical model</w:t>
        <w:br/>
        <w:t xml:space="preserve">        ↓</w:t>
        <w:br/>
        <w:t>Executed Development state</w:t>
        <w:br/>
        <w:t xml:space="preserve">        ↓</w:t>
        <w:br/>
        <w:t>Runtime verified state</w:t>
      </w:r>
    </w:p>
    <w:p>
      <w:pPr>
        <w:spacing w:after="80"/>
      </w:pPr>
      <w:r>
        <w:t>A lower layer cannot silently override a higher semantic decision.</w:t>
      </w:r>
    </w:p>
    <w:p>
      <w:pPr>
        <w:spacing w:after="80"/>
      </w:pPr>
      <w:r>
        <w:t>Development evidence can establish:</w:t>
      </w:r>
    </w:p>
    <w:p>
      <w:pPr>
        <w:pStyle w:val="ListBullet"/>
      </w:pPr>
      <w:r>
        <w:t>DRIFT;</w:t>
      </w:r>
    </w:p>
    <w:p>
      <w:pPr>
        <w:pStyle w:val="ListBullet"/>
      </w:pPr>
      <w:r>
        <w:t>IMPLEMENTATION GAP;</w:t>
      </w:r>
    </w:p>
    <w:p>
      <w:pPr>
        <w:pStyle w:val="ListBullet"/>
      </w:pPr>
      <w:r>
        <w:t>SCHEMA DRIFT;</w:t>
      </w:r>
    </w:p>
    <w:p>
      <w:pPr>
        <w:pStyle w:val="ListBullet"/>
      </w:pPr>
      <w:r>
        <w:t>RUNTIME GAP.</w:t>
      </w:r>
    </w:p>
    <w:p>
      <w:pPr>
        <w:spacing w:after="80"/>
      </w:pPr>
      <w:r>
        <w:t>It does not silently change an approved semantic decision.</w:t>
      </w:r>
    </w:p>
    <w:p>
      <w:pPr>
        <w:pStyle w:val="Heading1"/>
      </w:pPr>
      <w:r>
        <w:t>3. CURRENT CANONICAL ARTIFACTS</w:t>
      </w:r>
    </w:p>
    <w:p>
      <w:pPr>
        <w:spacing w:after="80"/>
      </w:pPr>
      <w:r>
        <w:t>For downstream synchronization, the current controlled artifacts are: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Artifact</w:t>
            </w:r>
          </w:p>
        </w:tc>
        <w:tc>
          <w:tcPr>
            <w:tcW w:type="dxa" w:w="5040"/>
            <w:shd w:fill="D9EAF7"/>
          </w:tcPr>
          <w:p>
            <w:r>
              <w:rPr>
                <w:b/>
                <w:sz w:val="16"/>
              </w:rPr>
            </w:r>
            <w:r>
              <w:rPr>
                <w:b/>
                <w:sz w:val="16"/>
              </w:rPr>
              <w:t>Current canonical state</w:t>
            </w:r>
          </w:p>
        </w:tc>
      </w:tr>
      <w:tr>
        <w:tc>
          <w:tcPr>
            <w:tcW w:type="dxa" w:w="5040"/>
          </w:tcPr>
          <w:p>
            <w:r>
              <w:rPr>
                <w:sz w:val="16"/>
              </w:rPr>
            </w:r>
            <w:r>
              <w:rPr>
                <w:sz w:val="16"/>
              </w:rPr>
              <w:t>Project Constitution</w:t>
            </w:r>
          </w:p>
        </w:tc>
        <w:tc>
          <w:tcPr>
            <w:tcW w:type="dxa" w:w="5040"/>
          </w:tcPr>
          <w:p>
            <w:r>
              <w:rPr>
                <w:sz w:val="16"/>
              </w:rPr>
            </w:r>
            <w:r>
              <w:rPr>
                <w:b/>
                <w:sz w:val="16"/>
              </w:rPr>
              <w:t>v1.14 — this document</w:t>
            </w:r>
          </w:p>
        </w:tc>
      </w:tr>
      <w:tr>
        <w:tc>
          <w:tcPr>
            <w:tcW w:type="dxa" w:w="5040"/>
          </w:tcPr>
          <w:p>
            <w:r>
              <w:rPr>
                <w:sz w:val="16"/>
              </w:rPr>
            </w:r>
            <w:r>
              <w:rPr>
                <w:sz w:val="16"/>
              </w:rPr>
              <w:t>System Architecture</w:t>
            </w:r>
          </w:p>
        </w:tc>
        <w:tc>
          <w:tcPr>
            <w:tcW w:type="dxa" w:w="5040"/>
          </w:tcPr>
          <w:p>
            <w:r>
              <w:rPr>
                <w:sz w:val="16"/>
              </w:rPr>
            </w:r>
            <w:r>
              <w:rPr>
                <w:b/>
                <w:sz w:val="16"/>
              </w:rPr>
              <w:t>v1.7 Current Canonical Consolidated</w:t>
            </w:r>
          </w:p>
        </w:tc>
      </w:tr>
      <w:tr>
        <w:tc>
          <w:tcPr>
            <w:tcW w:type="dxa" w:w="5040"/>
          </w:tcPr>
          <w:p>
            <w:r>
              <w:rPr>
                <w:sz w:val="16"/>
              </w:rPr>
            </w:r>
            <w:r>
              <w:rPr>
                <w:sz w:val="16"/>
              </w:rPr>
              <w:t>Technical Decisions</w:t>
            </w:r>
          </w:p>
        </w:tc>
        <w:tc>
          <w:tcPr>
            <w:tcW w:type="dxa" w:w="5040"/>
          </w:tcPr>
          <w:p>
            <w:r>
              <w:rPr>
                <w:sz w:val="16"/>
              </w:rPr>
            </w:r>
            <w:r>
              <w:rPr>
                <w:b/>
                <w:sz w:val="16"/>
              </w:rPr>
              <w:t>v1.6 Current Canonical Consolidated</w:t>
            </w:r>
          </w:p>
        </w:tc>
      </w:tr>
      <w:tr>
        <w:tc>
          <w:tcPr>
            <w:tcW w:type="dxa" w:w="5040"/>
          </w:tcPr>
          <w:p>
            <w:r>
              <w:rPr>
                <w:sz w:val="16"/>
              </w:rPr>
            </w:r>
            <w:r>
              <w:rPr>
                <w:sz w:val="16"/>
              </w:rPr>
              <w:t>ERD</w:t>
            </w:r>
          </w:p>
        </w:tc>
        <w:tc>
          <w:tcPr>
            <w:tcW w:type="dxa" w:w="5040"/>
          </w:tcPr>
          <w:p>
            <w:r>
              <w:rPr>
                <w:sz w:val="16"/>
              </w:rPr>
            </w:r>
            <w:r>
              <w:rPr>
                <w:b/>
                <w:sz w:val="16"/>
              </w:rPr>
              <w:t>v2.0 Wave-3 full consolidated current downstream logical baseline</w:t>
            </w:r>
          </w:p>
        </w:tc>
      </w:tr>
      <w:tr>
        <w:tc>
          <w:tcPr>
            <w:tcW w:type="dxa" w:w="5040"/>
          </w:tcPr>
          <w:p>
            <w:r>
              <w:rPr>
                <w:sz w:val="16"/>
              </w:rPr>
            </w:r>
            <w:r>
              <w:rPr>
                <w:sz w:val="16"/>
              </w:rPr>
              <w:t>Master Business Rules</w:t>
            </w:r>
          </w:p>
        </w:tc>
        <w:tc>
          <w:tcPr>
            <w:tcW w:type="dxa" w:w="5040"/>
          </w:tcPr>
          <w:p>
            <w:r>
              <w:rPr>
                <w:sz w:val="16"/>
              </w:rPr>
            </w:r>
            <w:r>
              <w:rPr>
                <w:b/>
                <w:sz w:val="16"/>
              </w:rPr>
              <w:t>BR-001…BR-151 normative baseline; MBR-COM-001–013 closed/Owner approved</w:t>
            </w:r>
          </w:p>
        </w:tc>
      </w:tr>
      <w:tr>
        <w:tc>
          <w:tcPr>
            <w:tcW w:type="dxa" w:w="5040"/>
          </w:tcPr>
          <w:p>
            <w:r>
              <w:rPr>
                <w:sz w:val="16"/>
              </w:rPr>
            </w:r>
            <w:r>
              <w:rPr>
                <w:sz w:val="16"/>
              </w:rPr>
              <w:t>MAEP / Cross-AEP</w:t>
            </w:r>
          </w:p>
        </w:tc>
        <w:tc>
          <w:tcPr>
            <w:tcW w:type="dxa" w:w="5040"/>
          </w:tcPr>
          <w:p>
            <w:r>
              <w:rPr>
                <w:sz w:val="16"/>
              </w:rPr>
            </w:r>
            <w:r>
              <w:rPr>
                <w:sz w:val="16"/>
              </w:rPr>
              <w:t>Governing consolidated evolution/provenance</w:t>
            </w:r>
          </w:p>
        </w:tc>
      </w:tr>
      <w:tr>
        <w:tc>
          <w:tcPr>
            <w:tcW w:type="dxa" w:w="5040"/>
          </w:tcPr>
          <w:p>
            <w:r>
              <w:rPr>
                <w:sz w:val="16"/>
              </w:rPr>
            </w:r>
            <w:r>
              <w:rPr>
                <w:sz w:val="16"/>
              </w:rPr>
              <w:t>Decision Log</w:t>
            </w:r>
          </w:p>
        </w:tc>
        <w:tc>
          <w:tcPr>
            <w:tcW w:type="dxa" w:w="5040"/>
          </w:tcPr>
          <w:p>
            <w:r>
              <w:rPr>
                <w:sz w:val="16"/>
              </w:rPr>
            </w:r>
            <w:r>
              <w:rPr>
                <w:sz w:val="16"/>
              </w:rPr>
              <w:t>Append-only chronology</w:t>
            </w:r>
          </w:p>
        </w:tc>
      </w:tr>
      <w:tr>
        <w:tc>
          <w:tcPr>
            <w:tcW w:type="dxa" w:w="5040"/>
          </w:tcPr>
          <w:p>
            <w:r>
              <w:rPr>
                <w:sz w:val="16"/>
              </w:rPr>
            </w:r>
            <w:r>
              <w:rPr>
                <w:sz w:val="16"/>
              </w:rPr>
              <w:t>Changelog</w:t>
            </w:r>
          </w:p>
        </w:tc>
        <w:tc>
          <w:tcPr>
            <w:tcW w:type="dxa" w:w="5040"/>
          </w:tcPr>
          <w:p>
            <w:r>
              <w:rPr>
                <w:sz w:val="16"/>
              </w:rPr>
            </w:r>
            <w:r>
              <w:rPr>
                <w:sz w:val="16"/>
              </w:rPr>
              <w:t>Append-only project evolution</w:t>
            </w:r>
          </w:p>
        </w:tc>
      </w:tr>
      <w:tr>
        <w:tc>
          <w:tcPr>
            <w:tcW w:type="dxa" w:w="5040"/>
          </w:tcPr>
          <w:p>
            <w:r>
              <w:rPr>
                <w:sz w:val="16"/>
              </w:rPr>
            </w:r>
            <w:r>
              <w:rPr>
                <w:sz w:val="16"/>
              </w:rPr>
              <w:t>Current Project State</w:t>
            </w:r>
          </w:p>
        </w:tc>
        <w:tc>
          <w:tcPr>
            <w:tcW w:type="dxa" w:w="5040"/>
          </w:tcPr>
          <w:p>
            <w:r>
              <w:rPr>
                <w:sz w:val="16"/>
              </w:rPr>
            </w:r>
            <w:r>
              <w:rPr>
                <w:b/>
                <w:sz w:val="16"/>
              </w:rPr>
              <w:t>rev.13</w:t>
            </w:r>
            <w:r>
              <w:rPr>
                <w:sz w:val="16"/>
              </w:rPr>
              <w:t xml:space="preserve"> current project-state evidence / post-closure consolidated state</w:t>
            </w:r>
          </w:p>
        </w:tc>
      </w:tr>
      <w:tr>
        <w:tc>
          <w:tcPr>
            <w:tcW w:type="dxa" w:w="5040"/>
          </w:tcPr>
          <w:p>
            <w:r>
              <w:rPr>
                <w:sz w:val="16"/>
              </w:rPr>
            </w:r>
            <w:r>
              <w:rPr>
                <w:sz w:val="16"/>
              </w:rPr>
              <w:t>Project Manifest</w:t>
            </w:r>
          </w:p>
        </w:tc>
        <w:tc>
          <w:tcPr>
            <w:tcW w:type="dxa" w:w="5040"/>
          </w:tcPr>
          <w:p>
            <w:r>
              <w:rPr>
                <w:sz w:val="16"/>
              </w:rPr>
            </w:r>
            <w:r>
              <w:rPr>
                <w:b/>
                <w:sz w:val="16"/>
              </w:rPr>
              <w:t>v1.31</w:t>
            </w:r>
            <w:r>
              <w:rPr>
                <w:sz w:val="16"/>
              </w:rPr>
              <w:t xml:space="preserve"> W4-02A.4 full consolidated synchronized baseline</w:t>
            </w:r>
          </w:p>
        </w:tc>
      </w:tr>
      <w:tr>
        <w:tc>
          <w:tcPr>
            <w:tcW w:type="dxa" w:w="5040"/>
          </w:tcPr>
          <w:p>
            <w:r>
              <w:rPr>
                <w:sz w:val="16"/>
              </w:rPr>
            </w:r>
            <w:r>
              <w:rPr>
                <w:sz w:val="16"/>
              </w:rPr>
              <w:t>Governance Register</w:t>
            </w:r>
          </w:p>
        </w:tc>
        <w:tc>
          <w:tcPr>
            <w:tcW w:type="dxa" w:w="5040"/>
          </w:tcPr>
          <w:p>
            <w:r>
              <w:rPr>
                <w:sz w:val="16"/>
              </w:rPr>
            </w:r>
            <w:r>
              <w:rPr>
                <w:b/>
                <w:sz w:val="16"/>
              </w:rPr>
              <w:t>v1.15</w:t>
            </w:r>
            <w:r>
              <w:rPr>
                <w:sz w:val="16"/>
              </w:rPr>
              <w:t xml:space="preserve"> current canonical consolidated baseline</w:t>
            </w:r>
          </w:p>
        </w:tc>
      </w:tr>
    </w:tbl>
    <w:p/>
    <w:p>
      <w:pPr>
        <w:spacing w:after="80"/>
      </w:pPr>
      <w:r>
        <w:t>Where a downstream artifact has not yet reached a clean current canonical state, that fact must be recorded rather than inferred.</w:t>
      </w:r>
    </w:p>
    <w:p>
      <w:pPr>
        <w:spacing w:after="80"/>
      </w:pPr>
      <w:r>
        <w:t>For the W4-02A.6 current synchronization context, the verified downstream Wave-3 baselines include:</w:t>
      </w:r>
    </w:p>
    <w:p>
      <w:pPr>
        <w:pStyle w:val="ListBullet"/>
      </w:pPr>
      <w:r>
        <w:t>PRD v2.0 — current product baseline;</w:t>
      </w:r>
    </w:p>
    <w:p>
      <w:pPr>
        <w:pStyle w:val="ListBullet"/>
      </w:pPr>
      <w:r>
        <w:t>User Flow v2.0 — current interaction baseline;</w:t>
      </w:r>
    </w:p>
    <w:p>
      <w:pPr>
        <w:pStyle w:val="ListBullet"/>
      </w:pPr>
      <w:r>
        <w:t>ERD v2.0 — current logical data baseline;</w:t>
      </w:r>
    </w:p>
    <w:p>
      <w:pPr>
        <w:pStyle w:val="ListBullet"/>
      </w:pPr>
      <w:r>
        <w:t>Database Dictionary v2.1 — current database meaning/contract baseline;</w:t>
      </w:r>
    </w:p>
    <w:p>
      <w:pPr>
        <w:pStyle w:val="ListBullet"/>
      </w:pPr>
      <w:r>
        <w:t>API Specification v2.0 — current API contract baseline;</w:t>
      </w:r>
    </w:p>
    <w:p>
      <w:pPr>
        <w:pStyle w:val="ListBullet"/>
      </w:pPr>
      <w:r>
        <w:t>RBAC / Permission / RLS v2.0 — current authorization baseline;</w:t>
      </w:r>
    </w:p>
    <w:p>
      <w:pPr>
        <w:pStyle w:val="ListBullet"/>
      </w:pPr>
      <w:r>
        <w:t>Technical Specification v2.0 — current technical implementation baseline;</w:t>
      </w:r>
    </w:p>
    <w:p>
      <w:pPr>
        <w:pStyle w:val="ListBullet"/>
      </w:pPr>
      <w:r/>
    </w:p>
    <w:p>
      <w:pPr>
        <w:pStyle w:val="ListBullet"/>
      </w:pPr>
      <w:r/>
    </w:p>
    <w:p>
      <w:pPr>
        <w:pStyle w:val="Heading1"/>
      </w:pPr>
      <w:r>
        <w:t>4. DOCUMENT VERSION vs SYNCHRONIZATION STATE</w:t>
      </w:r>
    </w:p>
    <w:p>
      <w:pPr>
        <w:spacing w:after="80"/>
      </w:pPr>
      <w:r>
        <w:t>The project explicitly separates:</w:t>
      </w:r>
    </w:p>
    <w:p>
      <w:pPr>
        <w:spacing w:after="80"/>
      </w:pPr>
      <w:r>
        <w:t>```text</w:t>
      </w:r>
    </w:p>
    <w:p>
      <w:pPr>
        <w:spacing w:after="80"/>
      </w:pPr>
      <w:r>
        <w:t>Document Version</w:t>
      </w:r>
    </w:p>
    <w:p>
      <w:pPr>
        <w:spacing w:after="80"/>
      </w:pPr>
      <w:r>
        <w:t>Synchronization State</w:t>
      </w:r>
    </w:p>
    <w:p>
      <w:pPr>
        <w:spacing w:after="80"/>
      </w:pPr>
      <w:r>
        <w:t>Baseline Status</w:t>
      </w:r>
    </w:p>
    <w:p>
      <w:pPr>
        <w:ind w:left="288"/>
      </w:pPr>
      <w:r>
        <w:rPr>
          <w:rFonts w:ascii="Consolas" w:hAnsi="Consolas"/>
          <w:sz w:val="16"/>
        </w:rPr>
        <w:br/>
        <w:t>D6 is a synchronization state.</w:t>
        <w:br/>
        <w:br/>
        <w:t>A filename containing `D6`, `GLOBAL-SYNCHRONIZED`, `P08`, or similar does not by itself create a formal document version.</w:t>
        <w:br/>
        <w:br/>
        <w:t>A substantive revision must use the actual current formal version as its predecessor.</w:t>
        <w:br/>
        <w:br/>
        <w:t>Therefore:</w:t>
        <w:br/>
        <w:br/>
        <w:t>```text</w:t>
        <w:br/>
        <w:t>Constitution v1.11</w:t>
        <w:br/>
        <w:t xml:space="preserve">      ↓ substantive P08/owner/current-state correction</w:t>
        <w:br/>
        <w:t>Constitution v1.14</w:t>
      </w:r>
    </w:p>
    <w:p>
      <w:pPr>
        <w:spacing w:after="80"/>
      </w:pPr>
      <w:r>
        <w:t>Historical version numbers are preserved.</w:t>
      </w:r>
    </w:p>
    <w:p>
      <w:pPr>
        <w:pStyle w:val="Heading1"/>
      </w:pPr>
      <w:r>
        <w:t>5. MAEP / AEP PROPAGATION RULE</w:t>
      </w:r>
    </w:p>
    <w:p>
      <w:pPr>
        <w:spacing w:after="80"/>
      </w:pPr>
      <w:r>
        <w:t>MAEP is the consolidated architecture-evolution input:</w:t>
      </w:r>
    </w:p>
    <w:p>
      <w:pPr>
        <w:spacing w:after="80"/>
      </w:pPr>
      <w:r>
        <w:t>```text</w:t>
      </w:r>
    </w:p>
    <w:p>
      <w:pPr>
        <w:spacing w:after="80"/>
      </w:pPr>
      <w:r>
        <w:t>AEP #1 — Commercial / Payment</w:t>
      </w:r>
    </w:p>
    <w:p>
      <w:pPr>
        <w:spacing w:after="80"/>
      </w:pPr>
      <w:r>
        <w:t xml:space="preserve">        ↓</w:t>
      </w:r>
    </w:p>
    <w:p>
      <w:pPr>
        <w:spacing w:after="80"/>
      </w:pPr>
      <w:r>
        <w:t>AEP #2 — Learning Economy</w:t>
      </w:r>
    </w:p>
    <w:p>
      <w:pPr>
        <w:spacing w:after="80"/>
      </w:pPr>
      <w:r>
        <w:t xml:space="preserve">        ↓</w:t>
      </w:r>
    </w:p>
    <w:p>
      <w:pPr>
        <w:spacing w:after="80"/>
      </w:pPr>
      <w:r>
        <w:t>AEP #3 — Awarding</w:t>
      </w:r>
    </w:p>
    <w:p>
      <w:pPr>
        <w:spacing w:after="80"/>
      </w:pPr>
      <w:r>
        <w:t xml:space="preserve">        ↓</w:t>
      </w:r>
    </w:p>
    <w:p>
      <w:pPr>
        <w:spacing w:after="80"/>
      </w:pPr>
      <w:r>
        <w:t>AEP #4 — Learning Session</w:t>
      </w:r>
    </w:p>
    <w:p>
      <w:pPr>
        <w:spacing w:after="80"/>
      </w:pPr>
      <w:r>
        <w:t xml:space="preserve">        ↓</w:t>
      </w:r>
    </w:p>
    <w:p>
      <w:pPr>
        <w:spacing w:after="80"/>
      </w:pPr>
      <w:r>
        <w:t>MAEP / Cross-AEP</w:t>
      </w:r>
    </w:p>
    <w:p>
      <w:pPr>
        <w:ind w:left="288"/>
      </w:pPr>
      <w:r>
        <w:rPr>
          <w:rFonts w:ascii="Consolas" w:hAnsi="Consolas"/>
          <w:sz w:val="16"/>
        </w:rPr>
        <w:br/>
        <w:t>Approved decisions are propagated into affected canonical artifacts.</w:t>
        <w:br/>
        <w:br/>
        <w:t>Historical AEP/MADCR/ADR/TECH artifacts remain preserved.</w:t>
        <w:br/>
        <w:br/>
        <w:t>No historical artifact is silently rewritten to make it appear that a later decision existed at an earlier date.</w:t>
        <w:br/>
        <w:br/>
        <w:t>---</w:t>
        <w:br/>
        <w:br/>
        <w:t># 6. MASTER BUSINESS RULES</w:t>
        <w:br/>
        <w:br/>
        <w:t>BR-001…BR-151 remain the locked normative Master Business Rules baseline.</w:t>
        <w:br/>
        <w:br/>
        <w:t>Downstream documents:</w:t>
        <w:br/>
        <w:br/>
        <w:t>- may propagate their implications;</w:t>
        <w:br/>
        <w:t>- may not redefine them without an approved governing change;</w:t>
        <w:br/>
        <w:t>- must distinguish business authority from implementation status.</w:t>
        <w:br/>
        <w:br/>
        <w:t>Where exact BR-to-artifact mapping is not supported by evidence, no mapping is invented.</w:t>
        <w:br/>
        <w:br/>
        <w:t>---</w:t>
        <w:br/>
        <w:br/>
        <w:t># 7. CORE DOMAIN BOUNDARIES</w:t>
        <w:br/>
        <w:br/>
        <w:t>The following distinctions are binding:</w:t>
        <w:br/>
        <w:br/>
        <w:t>```text</w:t>
        <w:br/>
        <w:t>Commercial Entitlement</w:t>
        <w:br/>
        <w:t xml:space="preserve">    ≠ Subscription</w:t>
        <w:br/>
        <w:t xml:space="preserve">    ≠ RBAC</w:t>
      </w:r>
    </w:p>
    <w:p>
      <w:pPr>
        <w:spacing w:after="80"/>
      </w:pPr>
      <w:r>
        <w:t>```text</w:t>
      </w:r>
    </w:p>
    <w:p>
      <w:pPr>
        <w:spacing w:after="80"/>
      </w:pPr>
      <w:r>
        <w:t>Payment</w:t>
      </w:r>
    </w:p>
    <w:p>
      <w:pPr>
        <w:spacing w:after="80"/>
      </w:pPr>
      <w:r>
        <w:t xml:space="preserve">    ≠ Commercial Entitlement</w:t>
      </w:r>
    </w:p>
    <w:p>
      <w:pPr>
        <w:spacing w:after="80"/>
      </w:pPr>
      <w:r>
        <w:t xml:space="preserve">    ≠ RBAC</w:t>
      </w:r>
    </w:p>
    <w:p>
      <w:pPr>
        <w:ind w:left="288"/>
      </w:pPr>
      <w:r>
        <w:rPr>
          <w:rFonts w:ascii="Consolas" w:hAnsi="Consolas"/>
          <w:sz w:val="16"/>
        </w:rPr>
        <w:br/>
        <w:t>```text</w:t>
        <w:br/>
        <w:t>Course Enrollment</w:t>
        <w:br/>
        <w:t xml:space="preserve">    ≠ Session Enrollment</w:t>
        <w:br/>
        <w:t xml:space="preserve">    ≠ Event Registration</w:t>
      </w:r>
    </w:p>
    <w:p>
      <w:pPr>
        <w:spacing w:after="80"/>
      </w:pPr>
      <w:r>
        <w:t>```text</w:t>
      </w:r>
    </w:p>
    <w:p>
      <w:pPr>
        <w:spacing w:after="80"/>
      </w:pPr>
      <w:r>
        <w:t>Learning Session</w:t>
      </w:r>
    </w:p>
    <w:p>
      <w:pPr>
        <w:spacing w:after="80"/>
      </w:pPr>
      <w:r>
        <w:t xml:space="preserve">    ≠ Provider Session ID</w:t>
      </w:r>
    </w:p>
    <w:p>
      <w:pPr>
        <w:ind w:left="288"/>
      </w:pPr>
      <w:r>
        <w:rPr>
          <w:rFonts w:ascii="Consolas" w:hAnsi="Consolas"/>
          <w:sz w:val="16"/>
        </w:rPr>
        <w:br/>
        <w:t>```text</w:t>
        <w:br/>
        <w:t>Provider Binding</w:t>
        <w:br/>
        <w:t xml:space="preserve">    ≠ Session semantic identity</w:t>
      </w:r>
    </w:p>
    <w:p>
      <w:pPr>
        <w:spacing w:after="80"/>
      </w:pPr>
      <w:r>
        <w:t>```text</w:t>
      </w:r>
    </w:p>
    <w:p>
      <w:pPr>
        <w:spacing w:after="80"/>
      </w:pPr>
      <w:r>
        <w:t>Participation Evidence</w:t>
      </w:r>
    </w:p>
    <w:p>
      <w:pPr>
        <w:spacing w:after="80"/>
      </w:pPr>
      <w:r>
        <w:t xml:space="preserve">    ≠ Attendance Evaluation</w:t>
      </w:r>
    </w:p>
    <w:p>
      <w:pPr>
        <w:spacing w:after="80"/>
      </w:pPr>
      <w:r>
        <w:t xml:space="preserve">    ≠ Completion Outcome</w:t>
      </w:r>
    </w:p>
    <w:p>
      <w:pPr>
        <w:ind w:left="288"/>
      </w:pPr>
      <w:r>
        <w:rPr>
          <w:rFonts w:ascii="Consolas" w:hAnsi="Consolas"/>
          <w:sz w:val="16"/>
        </w:rPr>
        <w:br/>
        <w:t>```text</w:t>
        <w:br/>
        <w:t>Completion Outcome</w:t>
        <w:br/>
        <w:t xml:space="preserve">    ≠ Learning Point Transaction</w:t>
        <w:br/>
        <w:t xml:space="preserve">    ≠ Competency</w:t>
        <w:br/>
        <w:t xml:space="preserve">    ≠ Credential</w:t>
        <w:br/>
        <w:t xml:space="preserve">    ≠ Award Instance</w:t>
      </w:r>
    </w:p>
    <w:p>
      <w:pPr>
        <w:spacing w:after="80"/>
      </w:pPr>
      <w:r>
        <w:t>```text</w:t>
      </w:r>
    </w:p>
    <w:p>
      <w:pPr>
        <w:spacing w:after="80"/>
      </w:pPr>
      <w:r>
        <w:t>Title Definition</w:t>
      </w:r>
    </w:p>
    <w:p>
      <w:pPr>
        <w:spacing w:after="80"/>
      </w:pPr>
      <w:r>
        <w:t xml:space="preserve">    ≠ Award Instance</w:t>
      </w:r>
    </w:p>
    <w:p>
      <w:pPr>
        <w:ind w:left="288"/>
      </w:pPr>
      <w:r>
        <w:rPr>
          <w:rFonts w:ascii="Consolas" w:hAnsi="Consolas"/>
          <w:sz w:val="16"/>
        </w:rPr>
        <w:br/>
        <w:t>```text</w:t>
        <w:br/>
        <w:t>Organization</w:t>
        <w:br/>
        <w:t xml:space="preserve">    ≠ Commercial Entitlement</w:t>
        <w:br/>
        <w:t xml:space="preserve">    ≠ Quota Authority</w:t>
      </w:r>
    </w:p>
    <w:p>
      <w:pPr>
        <w:spacing w:after="80"/>
      </w:pPr>
      <w:r>
        <w:t>```text</w:t>
      </w:r>
    </w:p>
    <w:p>
      <w:pPr>
        <w:spacing w:after="80"/>
      </w:pPr>
      <w:r>
        <w:t>Visibility</w:t>
      </w:r>
    </w:p>
    <w:p>
      <w:pPr>
        <w:spacing w:after="80"/>
      </w:pPr>
      <w:r>
        <w:t xml:space="preserve">    ≠ Authorization</w:t>
      </w:r>
    </w:p>
    <w:p>
      <w:pPr>
        <w:ind w:left="288"/>
      </w:pPr>
      <w:r>
        <w:rPr>
          <w:rFonts w:ascii="Consolas" w:hAnsi="Consolas"/>
          <w:sz w:val="16"/>
        </w:rPr>
        <w:br/>
        <w:t>---</w:t>
        <w:br/>
        <w:br/>
        <w:t># 8. COMMERCIAL / PAYMENT GOVERNANCE</w:t>
        <w:br/>
        <w:br/>
        <w:t>The Commercial/Payment architecture is:</w:t>
        <w:br/>
        <w:br/>
        <w:t>```text</w:t>
        <w:br/>
        <w:t>Commercial Context</w:t>
        <w:br/>
        <w:t xml:space="preserve">      ↓</w:t>
        <w:br/>
        <w:t>Order</w:t>
        <w:br/>
        <w:t xml:space="preserve">      ↓</w:t>
        <w:br/>
        <w:t>Payment Core</w:t>
        <w:br/>
        <w:t xml:space="preserve">      ↓</w:t>
        <w:br/>
        <w:t>Provider Adapter</w:t>
        <w:br/>
        <w:t xml:space="preserve">      ↓</w:t>
        <w:br/>
        <w:t>Verification</w:t>
        <w:br/>
        <w:t xml:space="preserve">      ↓</w:t>
        <w:br/>
        <w:t>Idempotency</w:t>
        <w:br/>
        <w:t xml:space="preserve">      ↓</w:t>
        <w:br/>
        <w:t>Confirmed Payment</w:t>
        <w:br/>
        <w:t xml:space="preserve">      ↓</w:t>
        <w:br/>
        <w:t>Fulfillment</w:t>
        <w:br/>
        <w:t xml:space="preserve">      ↓</w:t>
        <w:br/>
        <w:t>Commercial Entitlement</w:t>
      </w:r>
    </w:p>
    <w:p>
      <w:pPr>
        <w:spacing w:after="80"/>
      </w:pPr>
      <w:r>
        <w:t>Governing decisions include:</w:t>
      </w:r>
    </w:p>
    <w:p>
      <w:pPr>
        <w:pStyle w:val="ListBullet"/>
      </w:pPr>
      <w:r>
        <w:t>MADCR-010 — Commercial Entitlement authority;</w:t>
      </w:r>
    </w:p>
    <w:p>
      <w:pPr>
        <w:pStyle w:val="ListBullet"/>
      </w:pPr>
      <w:r>
        <w:t>MADCR-011 — Payment is Commercial M14 subdomain;</w:t>
      </w:r>
    </w:p>
    <w:p>
      <w:pPr>
        <w:pStyle w:val="ListBullet"/>
      </w:pPr>
      <w:r>
        <w:t>MADCR-002 — provider-independent Payment Core + Provider Adapter;</w:t>
      </w:r>
    </w:p>
    <w:p>
      <w:pPr>
        <w:pStyle w:val="ListBullet"/>
      </w:pPr>
      <w:r>
        <w:t>MADCR-003 — verified + idempotent fulfillment;</w:t>
      </w:r>
    </w:p>
    <w:p>
      <w:pPr>
        <w:pStyle w:val="ListBullet"/>
      </w:pPr>
      <w:r>
        <w:t>MADCR-005 — reconciliation as first-class capability;</w:t>
      </w:r>
    </w:p>
    <w:p>
      <w:pPr>
        <w:pStyle w:val="ListBullet"/>
      </w:pPr>
      <w:r>
        <w:t>MON-006 — confirmed commercial purchase snapshot is immutable.</w:t>
      </w:r>
    </w:p>
    <w:p>
      <w:pPr>
        <w:spacing w:after="80"/>
      </w:pPr>
      <w:r>
        <w:t>Payment does not directly mutate RBAC.</w:t>
      </w:r>
    </w:p>
    <w:p>
      <w:pPr>
        <w:spacing w:after="80"/>
      </w:pPr>
      <w:r>
        <w:t>Configurable commercial parameters are configuration/data, not hard-coded historical business constants.</w:t>
      </w:r>
    </w:p>
    <w:p>
      <w:pPr>
        <w:pStyle w:val="Heading3"/>
      </w:pPr>
      <w:r>
        <w:t>Payment vendor</w:t>
      </w:r>
    </w:p>
    <w:p>
      <w:pPr>
        <w:spacing w:after="80"/>
      </w:pPr>
      <w:r>
        <w:t>```text</w:t>
      </w:r>
    </w:p>
    <w:p>
      <w:pPr>
        <w:spacing w:after="80"/>
      </w:pPr>
      <w:r>
        <w:t>Midtrans = CLOSED — GOVERNING — selected MVP implementation provider behind Provider Adapter</w:t>
      </w:r>
    </w:p>
    <w:p>
      <w:pPr>
        <w:ind w:left="288"/>
      </w:pPr>
      <w:r>
        <w:rPr>
          <w:rFonts w:ascii="Consolas" w:hAnsi="Consolas"/>
          <w:sz w:val="16"/>
        </w:rPr>
        <w:br/>
        <w:t>MADCR-058 is now CLOSED — GOVERNING. Midtrans is the selected MVP implementation provider behind the provider-independent Payment Core / Provider Adapter boundary.</w:t>
        <w:br/>
        <w:br/>
        <w:t>---</w:t>
        <w:br/>
        <w:br/>
        <w:t># 9. LEARNING ECONOMY GOVERNANCE</w:t>
        <w:br/>
        <w:br/>
        <w:t>**MADCR-049 = APPROVED / GOVERNING — Option A.**</w:t>
        <w:br/>
        <w:br/>
        <w:t>The canonical boundary is:</w:t>
        <w:br/>
        <w:br/>
        <w:t>```text</w:t>
        <w:br/>
        <w:t>Course / Module</w:t>
        <w:br/>
        <w:t xml:space="preserve">    = content/product structure</w:t>
        <w:br/>
        <w:br/>
        <w:t>Learning Activity</w:t>
        <w:br/>
        <w:t xml:space="preserve">    = canonical completion/reward boundary</w:t>
      </w:r>
    </w:p>
    <w:p>
      <w:pPr>
        <w:spacing w:after="80"/>
      </w:pPr>
      <w:r>
        <w:t>Learning Activity is therefore the completion/reward boundary.</w:t>
      </w:r>
    </w:p>
    <w:p>
      <w:pPr>
        <w:spacing w:after="80"/>
      </w:pPr>
      <w:r>
        <w:t>Learning Points remain transaction/provenance-oriented.</w:t>
      </w:r>
    </w:p>
    <w:p>
      <w:pPr>
        <w:spacing w:after="80"/>
      </w:pPr>
      <w:r>
        <w:t>Purchased LP requires confirmed payment provenance and idempotent grant behavior.</w:t>
      </w:r>
    </w:p>
    <w:p>
      <w:pPr>
        <w:spacing w:after="80"/>
      </w:pPr>
      <w:r>
        <w:t>Configuration changes must not rewrite historical LP transactions.</w:t>
      </w:r>
    </w:p>
    <w:p>
      <w:pPr>
        <w:spacing w:after="80"/>
      </w:pPr>
      <w:r>
        <w:t>This Constitution does not dictate the final physical Learning Activity table/cardinality; that belongs to the controlled downstream data-design gate.</w:t>
      </w:r>
    </w:p>
    <w:p>
      <w:pPr>
        <w:pStyle w:val="Heading1"/>
      </w:pPr>
      <w:r>
        <w:t>10. LEARNING SESSION GOVERNANCE</w:t>
      </w:r>
    </w:p>
    <w:p>
      <w:pPr>
        <w:spacing w:after="80"/>
      </w:pPr>
      <w:r>
        <w:t>Canonical Session taxonomy:</w:t>
      </w:r>
    </w:p>
    <w:p>
      <w:pPr>
        <w:spacing w:after="80"/>
      </w:pPr>
      <w:r>
        <w:t>```text</w:t>
      </w:r>
    </w:p>
    <w:p>
      <w:pPr>
        <w:spacing w:after="80"/>
      </w:pPr>
      <w:r>
        <w:t>BROADCAST</w:t>
      </w:r>
    </w:p>
    <w:p>
      <w:pPr>
        <w:spacing w:after="80"/>
      </w:pPr>
      <w:r>
        <w:t>INTERACTIVE</w:t>
      </w:r>
    </w:p>
    <w:p>
      <w:pPr>
        <w:spacing w:after="80"/>
      </w:pPr>
      <w:r>
        <w:t>ON_DEMAND</w:t>
      </w:r>
    </w:p>
    <w:p>
      <w:pPr>
        <w:ind w:left="288"/>
      </w:pPr>
      <w:r>
        <w:rPr>
          <w:rFonts w:ascii="Consolas" w:hAnsi="Consolas"/>
          <w:sz w:val="16"/>
        </w:rPr>
        <w:br/>
        <w:t>Canonical lifecycle:</w:t>
        <w:br/>
        <w:br/>
        <w:t>```text</w:t>
        <w:br/>
        <w:t>PENDING</w:t>
        <w:br/>
        <w:t xml:space="preserve">    ↓</w:t>
        <w:br/>
        <w:t>ACTIVE</w:t>
        <w:br/>
        <w:t xml:space="preserve">    ↓</w:t>
        <w:br/>
        <w:t>COMPLETED</w:t>
      </w:r>
    </w:p>
    <w:p>
      <w:pPr>
        <w:spacing w:after="80"/>
      </w:pPr>
      <w:r>
        <w:t>Session identity is canonical RUMAHAGEN identity, not provider identity.</w:t>
      </w:r>
    </w:p>
    <w:p>
      <w:pPr>
        <w:spacing w:after="80"/>
      </w:pPr>
      <w:r>
        <w:t>Provider processing follows:</w:t>
      </w:r>
    </w:p>
    <w:p>
      <w:pPr>
        <w:spacing w:after="80"/>
      </w:pPr>
      <w:r>
        <w:t>```text</w:t>
      </w:r>
    </w:p>
    <w:p>
      <w:pPr>
        <w:spacing w:after="80"/>
      </w:pPr>
      <w:r>
        <w:t>Provider Event</w:t>
      </w:r>
    </w:p>
    <w:p>
      <w:pPr>
        <w:spacing w:after="80"/>
      </w:pPr>
      <w:r>
        <w:t xml:space="preserve">    ↓</w:t>
      </w:r>
    </w:p>
    <w:p>
      <w:pPr>
        <w:spacing w:after="80"/>
      </w:pPr>
      <w:r>
        <w:t>Validation</w:t>
      </w:r>
    </w:p>
    <w:p>
      <w:pPr>
        <w:spacing w:after="80"/>
      </w:pPr>
      <w:r>
        <w:t xml:space="preserve">    ↓</w:t>
      </w:r>
    </w:p>
    <w:p>
      <w:pPr>
        <w:spacing w:after="80"/>
      </w:pPr>
      <w:r>
        <w:t>Normalization</w:t>
      </w:r>
    </w:p>
    <w:p>
      <w:pPr>
        <w:spacing w:after="80"/>
      </w:pPr>
      <w:r>
        <w:t xml:space="preserve">    ↓</w:t>
      </w:r>
    </w:p>
    <w:p>
      <w:pPr>
        <w:spacing w:after="80"/>
      </w:pPr>
      <w:r>
        <w:t>Correlation</w:t>
      </w:r>
    </w:p>
    <w:p>
      <w:pPr>
        <w:spacing w:after="80"/>
      </w:pPr>
      <w:r>
        <w:t xml:space="preserve">    ↓</w:t>
      </w:r>
    </w:p>
    <w:p>
      <w:pPr>
        <w:spacing w:after="80"/>
      </w:pPr>
      <w:r>
        <w:t>Idempotency</w:t>
      </w:r>
    </w:p>
    <w:p>
      <w:pPr>
        <w:spacing w:after="80"/>
      </w:pPr>
      <w:r>
        <w:t xml:space="preserve">    ↓</w:t>
      </w:r>
    </w:p>
    <w:p>
      <w:pPr>
        <w:spacing w:after="80"/>
      </w:pPr>
      <w:r>
        <w:t>Evidence</w:t>
      </w:r>
    </w:p>
    <w:p>
      <w:pPr>
        <w:spacing w:after="80"/>
      </w:pPr>
      <w:r>
        <w:t xml:space="preserve">    ↓</w:t>
      </w:r>
    </w:p>
    <w:p>
      <w:pPr>
        <w:spacing w:after="80"/>
      </w:pPr>
      <w:r>
        <w:t>Evaluation</w:t>
      </w:r>
    </w:p>
    <w:p>
      <w:pPr>
        <w:ind w:left="288"/>
      </w:pPr>
      <w:r>
        <w:rPr>
          <w:rFonts w:ascii="Consolas" w:hAnsi="Consolas"/>
          <w:sz w:val="16"/>
        </w:rPr>
        <w:br/>
        <w:t>Provider evidence is not itself attendance/completion authority.</w:t>
        <w:br/>
        <w:br/>
        <w:t>Recording is optional and does not establish attendance/completion.</w:t>
        <w:br/>
        <w:br/>
        <w:t>### Physical relationship decisions already closed</w:t>
        <w:br/>
        <w:br/>
        <w:t>```text</w:t>
        <w:br/>
        <w:t>Session → Organization</w:t>
        <w:br/>
        <w:t xml:space="preserve">    = nullable organization_id, max 1</w:t>
        <w:br/>
        <w:br/>
        <w:t>Session → Partner</w:t>
        <w:br/>
        <w:t xml:space="preserve">    = no physical Partner relation in MVP</w:t>
        <w:br/>
        <w:br/>
        <w:t>PRIVATE audience</w:t>
        <w:br/>
        <w:t xml:space="preserve">    = existing authorization/enrollment context</w:t>
        <w:br/>
        <w:t xml:space="preserve">      no dedicated audience table in MVP</w:t>
        <w:br/>
        <w:br/>
        <w:t>Session → Event</w:t>
        <w:br/>
        <w:t xml:space="preserve">    = nullable event_id, max 1 canonical Event</w:t>
      </w:r>
    </w:p>
    <w:p>
      <w:pPr>
        <w:spacing w:after="80"/>
      </w:pPr>
      <w:r>
        <w:t>These decisions must not be reopened without new governing evidence.</w:t>
      </w:r>
    </w:p>
    <w:p>
      <w:pPr>
        <w:pStyle w:val="Heading3"/>
      </w:pPr>
      <w:r>
        <w:t>AEP4-OD-08</w:t>
      </w:r>
    </w:p>
    <w:p>
      <w:pPr>
        <w:spacing w:after="80"/>
      </w:pPr>
      <w:r>
        <w:t>Automatic provider failover is now:</w:t>
      </w:r>
    </w:p>
    <w:p>
      <w:pPr>
        <w:ind w:left="360"/>
      </w:pPr>
      <w:r>
        <w:rPr>
          <w:i/>
        </w:rPr>
        <w:t>**CLOSED — GOVERNING**</w:t>
      </w:r>
    </w:p>
    <w:p>
      <w:pPr>
        <w:spacing w:after="80"/>
      </w:pPr>
      <w:r>
        <w:t>No failover subsystem is introduced.</w:t>
      </w:r>
    </w:p>
    <w:p>
      <w:pPr>
        <w:pStyle w:val="Heading1"/>
      </w:pPr>
      <w:r>
        <w:t>11. AWARDING GOVERNANCE</w:t>
      </w:r>
    </w:p>
    <w:p>
      <w:pPr>
        <w:spacing w:after="80"/>
      </w:pPr>
      <w:r>
        <w:t>Canonical model:</w:t>
      </w:r>
    </w:p>
    <w:p>
      <w:pPr>
        <w:spacing w:after="80"/>
      </w:pPr>
      <w:r>
        <w:t>```text</w:t>
      </w:r>
    </w:p>
    <w:p>
      <w:pPr>
        <w:spacing w:after="80"/>
      </w:pPr>
      <w:r>
        <w:t>Awarding Path</w:t>
      </w:r>
    </w:p>
    <w:p>
      <w:pPr>
        <w:spacing w:after="80"/>
      </w:pPr>
      <w:r>
        <w:t xml:space="preserve">      ↓</w:t>
      </w:r>
    </w:p>
    <w:p>
      <w:pPr>
        <w:spacing w:after="80"/>
      </w:pPr>
      <w:r>
        <w:t>Path Version</w:t>
      </w:r>
    </w:p>
    <w:p>
      <w:pPr>
        <w:spacing w:after="80"/>
      </w:pPr>
      <w:r>
        <w:t xml:space="preserve">      ↓</w:t>
      </w:r>
    </w:p>
    <w:p>
      <w:pPr>
        <w:spacing w:after="80"/>
      </w:pPr>
      <w:r>
        <w:t>Rule Version</w:t>
      </w:r>
    </w:p>
    <w:p>
      <w:pPr>
        <w:spacing w:after="80"/>
      </w:pPr>
      <w:r>
        <w:t xml:space="preserve">      ↓</w:t>
      </w:r>
    </w:p>
    <w:p>
      <w:pPr>
        <w:spacing w:after="80"/>
      </w:pPr>
      <w:r>
        <w:t>Qualification Evaluation</w:t>
      </w:r>
    </w:p>
    <w:p>
      <w:pPr>
        <w:spacing w:after="80"/>
      </w:pPr>
      <w:r>
        <w:t xml:space="preserve">      ↓</w:t>
      </w:r>
    </w:p>
    <w:p>
      <w:pPr>
        <w:spacing w:after="80"/>
      </w:pPr>
      <w:r>
        <w:t>Award Instance</w:t>
      </w:r>
    </w:p>
    <w:p>
      <w:pPr>
        <w:ind w:left="288"/>
      </w:pPr>
      <w:r>
        <w:rPr>
          <w:rFonts w:ascii="Consolas" w:hAnsi="Consolas"/>
          <w:sz w:val="16"/>
        </w:rPr>
        <w:br/>
        <w:t>Current governing distinctions:</w:t>
        <w:br/>
        <w:br/>
        <w:t>```text</w:t>
        <w:br/>
        <w:t>Title Definition ≠ Award Instance</w:t>
        <w:br/>
        <w:t>Certificate/Credential ≠ Award Instance</w:t>
      </w:r>
    </w:p>
    <w:p>
      <w:pPr>
        <w:pStyle w:val="Heading3"/>
      </w:pPr>
      <w:r>
        <w:t>AEP3 owner-confirmed state</w:t>
      </w:r>
    </w:p>
    <w:p>
      <w:pPr>
        <w:spacing w:after="80"/>
      </w:pPr>
      <w:r>
        <w:rPr>
          <w:b/>
        </w:rPr>
        <w:t>OD-02 — CLOSED</w:t>
      </w:r>
    </w:p>
    <w:p>
      <w:pPr>
        <w:ind w:left="360"/>
      </w:pPr>
      <w:r>
        <w:rPr>
          <w:i/>
        </w:rPr>
        <w:t>One authority source at a time.</w:t>
      </w:r>
    </w:p>
    <w:p>
      <w:pPr>
        <w:spacing w:after="80"/>
      </w:pPr>
      <w:r>
        <w:t>No multi-authority conflict-resolution engine is required.</w:t>
      </w:r>
    </w:p>
    <w:p>
      <w:pPr>
        <w:spacing w:after="80"/>
      </w:pPr>
      <w:r>
        <w:rPr>
          <w:b/>
        </w:rPr>
        <w:t>OD-03 — CLOSED — GOVERNING</w:t>
      </w:r>
    </w:p>
    <w:p>
      <w:pPr>
        <w:spacing w:after="80"/>
      </w:pPr>
      <w:r>
        <w:t>Lifecycle/appeal storage reuses the existing audit/history mechanism. No new appeal subsystem, lifecycle engine, event-sourcing subsystem, or history service is introduced.</w:t>
      </w:r>
    </w:p>
    <w:p>
      <w:pPr>
        <w:spacing w:after="80"/>
      </w:pPr>
      <w:r>
        <w:rPr>
          <w:b/>
        </w:rPr>
        <w:t>OD-04 — CLOSED</w:t>
      </w:r>
    </w:p>
    <w:p>
      <w:pPr>
        <w:spacing w:after="80"/>
      </w:pPr>
      <w:r>
        <w:t>Version/history is sufficient; no mandatory explicit parent Rule Version lineage graph.</w:t>
      </w:r>
    </w:p>
    <w:p>
      <w:pPr>
        <w:spacing w:after="80"/>
      </w:pPr>
      <w:r>
        <w:rPr>
          <w:b/>
        </w:rPr>
        <w:t>OD-05 — CLOSED</w:t>
      </w:r>
    </w:p>
    <w:p>
      <w:pPr>
        <w:spacing w:after="80"/>
      </w:pPr>
      <w:r>
        <w:t>Qualification/completion determines the applicable Rule Version; the Award Instance preserves the Rule Version used.</w:t>
      </w:r>
    </w:p>
    <w:p>
      <w:pPr>
        <w:spacing w:after="80"/>
      </w:pPr>
      <w:r>
        <w:t>No general-purpose temporal Rule Engine is introduced.</w:t>
      </w:r>
    </w:p>
    <w:p>
      <w:pPr>
        <w:pStyle w:val="Heading1"/>
      </w:pPr>
      <w:r>
        <w:t>12. AUTHORIZATION GOVERNANCE</w:t>
      </w:r>
    </w:p>
    <w:p>
      <w:r>
        <w:t>12.1 M10 AUTHORIZATION AUTHORITY</w:t>
      </w:r>
    </w:p>
    <w:p>
      <w:r>
        <w:t>M10 remains the sole semantic authorization authority for Role, Role Permission, Permission Preset, Capability, Scope, Condition, Ownership, Organization and RLS governance.</w:t>
      </w:r>
    </w:p>
    <w:p>
      <w:r>
        <w:t>Role is an actor grouping. Role Permission is the baseline/default permission matrix. Permission Preset is an optional configurable authorization configuration targeted to an existing role; it is never a new Role and cannot create capabilities outside the established role baseline.</w:t>
      </w:r>
    </w:p>
    <w:p>
      <w:r>
        <w:t>Visibility is not authorization. Commercial Entitlement is not RBAC. Qualification/Awarding authority does not automatically become operational permission.</w:t>
      </w:r>
    </w:p>
    <w:p>
      <w:pPr>
        <w:spacing w:after="80"/>
      </w:pPr>
      <w:r>
        <w:t>The canonical authorization model is:</w:t>
      </w:r>
    </w:p>
    <w:p>
      <w:pPr>
        <w:spacing w:after="80"/>
      </w:pPr>
      <w:r>
        <w:t>```text</w:t>
      </w:r>
    </w:p>
    <w:p>
      <w:pPr>
        <w:spacing w:after="80"/>
      </w:pPr>
      <w:r>
        <w:t>Role</w:t>
      </w:r>
    </w:p>
    <w:p>
      <w:pPr>
        <w:spacing w:after="80"/>
      </w:pPr>
      <w:r>
        <w:t>+</w:t>
      </w:r>
    </w:p>
    <w:p>
      <w:pPr>
        <w:spacing w:after="80"/>
      </w:pPr>
      <w:r>
        <w:t>Capability / Permission</w:t>
      </w:r>
    </w:p>
    <w:p>
      <w:pPr>
        <w:spacing w:after="80"/>
      </w:pPr>
      <w:r>
        <w:t>+</w:t>
      </w:r>
    </w:p>
    <w:p>
      <w:pPr>
        <w:spacing w:after="80"/>
      </w:pPr>
      <w:r>
        <w:t>Scope</w:t>
      </w:r>
    </w:p>
    <w:p>
      <w:pPr>
        <w:spacing w:after="80"/>
      </w:pPr>
      <w:r>
        <w:t>+</w:t>
      </w:r>
    </w:p>
    <w:p>
      <w:pPr>
        <w:spacing w:after="80"/>
      </w:pPr>
      <w:r>
        <w:t>Applicable Authority</w:t>
      </w:r>
    </w:p>
    <w:p>
      <w:pPr>
        <w:ind w:left="288"/>
      </w:pPr>
      <w:r>
        <w:rPr>
          <w:rFonts w:ascii="Consolas" w:hAnsi="Consolas"/>
          <w:sz w:val="16"/>
        </w:rPr>
        <w:br/>
        <w:t>Binding principles include:</w:t>
        <w:br/>
        <w:br/>
        <w:t>```text</w:t>
        <w:br/>
        <w:t>HOST ≠ INSTRUCTOR</w:t>
      </w:r>
    </w:p>
    <w:p>
      <w:pPr>
        <w:spacing w:after="80"/>
      </w:pPr>
      <w:r>
        <w:t>Commercial Entitlement does not become RBAC.</w:t>
      </w:r>
    </w:p>
    <w:p>
      <w:pPr>
        <w:spacing w:after="80"/>
      </w:pPr>
      <w:r>
        <w:t>Qualification/Awarding authority does not automatically become operational permission.</w:t>
      </w:r>
    </w:p>
    <w:p>
      <w:pPr>
        <w:spacing w:after="80"/>
      </w:pPr>
      <w:r>
        <w:t>RLS remains an independent enforcement layer.</w:t>
      </w:r>
    </w:p>
    <w:p>
      <w:pPr>
        <w:spacing w:after="80"/>
      </w:pPr>
      <w:r>
        <w:t>Exact permission IDs and final RLS implementation are downstream unless explicitly verified.</w:t>
      </w:r>
    </w:p>
    <w:p>
      <w:pPr>
        <w:pStyle w:val="Heading1"/>
      </w:pPr>
      <w:r>
        <w:t>13. ORGANIZATION GOVERNANCE</w:t>
      </w:r>
    </w:p>
    <w:p>
      <w:pPr>
        <w:spacing w:after="80"/>
      </w:pPr>
      <w:r>
        <w:t>Organization context remains distinct from platform roles.</w:t>
      </w:r>
    </w:p>
    <w:p>
      <w:pPr>
        <w:spacing w:after="80"/>
      </w:pPr>
      <w:r>
        <w:t>Organization membership is not itself:</w:t>
      </w:r>
    </w:p>
    <w:p>
      <w:pPr>
        <w:pStyle w:val="ListBullet"/>
      </w:pPr>
      <w:r>
        <w:t>quota allocation;</w:t>
      </w:r>
    </w:p>
    <w:p>
      <w:pPr>
        <w:pStyle w:val="ListBullet"/>
      </w:pPr>
      <w:r>
        <w:t>commercial entitlement;</w:t>
      </w:r>
    </w:p>
    <w:p>
      <w:pPr>
        <w:pStyle w:val="ListBullet"/>
      </w:pPr>
      <w:r>
        <w:t>host authority;</w:t>
      </w:r>
    </w:p>
    <w:p>
      <w:pPr>
        <w:pStyle w:val="ListBullet"/>
      </w:pPr>
      <w:r>
        <w:t>instructor authority.</w:t>
      </w:r>
    </w:p>
    <w:p>
      <w:pPr>
        <w:spacing w:after="80"/>
      </w:pPr>
      <w:r>
        <w:t>Organization-scoped authorization must remain compatible with the approved organization strategy.</w:t>
      </w:r>
    </w:p>
    <w:p>
      <w:pPr>
        <w:spacing w:after="80"/>
      </w:pPr>
      <w:r>
        <w:t>No separate tenancy subsystem is introduced.</w:t>
      </w:r>
    </w:p>
    <w:p>
      <w:pPr>
        <w:pStyle w:val="Heading1"/>
      </w:pPr>
      <w:r>
        <w:t>14. CORE TECHNOLOGY PRINCIPLES</w:t>
      </w:r>
    </w:p>
    <w:p>
      <w:pPr>
        <w:spacing w:after="80"/>
      </w:pPr>
      <w:r>
        <w:t>The current approved technology direction remains the existing minimal architecture.</w:t>
      </w:r>
    </w:p>
    <w:p>
      <w:pPr>
        <w:spacing w:after="80"/>
      </w:pPr>
      <w:r>
        <w:t>Core stack includes:</w:t>
      </w:r>
    </w:p>
    <w:p>
      <w:pPr>
        <w:pStyle w:val="ListBullet"/>
      </w:pPr>
      <w:r>
        <w:t>Next.js App Router;</w:t>
      </w:r>
    </w:p>
    <w:p>
      <w:pPr>
        <w:pStyle w:val="ListBullet"/>
      </w:pPr>
      <w:r>
        <w:t>TypeScript;</w:t>
      </w:r>
    </w:p>
    <w:p>
      <w:pPr>
        <w:pStyle w:val="ListBullet"/>
      </w:pPr>
      <w:r>
        <w:t>shadcn/ui;</w:t>
      </w:r>
    </w:p>
    <w:p>
      <w:pPr>
        <w:pStyle w:val="ListBullet"/>
      </w:pPr>
      <w:r>
        <w:t>Tailwind CSS;</w:t>
      </w:r>
    </w:p>
    <w:p>
      <w:pPr>
        <w:pStyle w:val="ListBullet"/>
      </w:pPr>
      <w:r>
        <w:t>Next.js Route Handlers / thin BFF;</w:t>
      </w:r>
    </w:p>
    <w:p>
      <w:pPr>
        <w:pStyle w:val="ListBullet"/>
      </w:pPr>
      <w:r>
        <w:t>Supabase;</w:t>
      </w:r>
    </w:p>
    <w:p>
      <w:pPr>
        <w:pStyle w:val="ListBullet"/>
      </w:pPr>
      <w:r>
        <w:t>PostgreSQL;</w:t>
      </w:r>
    </w:p>
    <w:p>
      <w:pPr>
        <w:pStyle w:val="ListBullet"/>
      </w:pPr>
      <w:r>
        <w:t>Supabase Auth;</w:t>
      </w:r>
    </w:p>
    <w:p>
      <w:pPr>
        <w:pStyle w:val="ListBullet"/>
      </w:pPr>
      <w:r>
        <w:t>Supabase Storage;</w:t>
      </w:r>
    </w:p>
    <w:p>
      <w:pPr>
        <w:pStyle w:val="ListBullet"/>
      </w:pPr>
      <w:r>
        <w:t>Supabase RLS;</w:t>
      </w:r>
    </w:p>
    <w:p>
      <w:pPr>
        <w:pStyle w:val="ListBullet"/>
      </w:pPr>
      <w:r>
        <w:t>Vercel;</w:t>
      </w:r>
    </w:p>
    <w:p>
      <w:pPr>
        <w:pStyle w:val="ListBullet"/>
      </w:pPr>
      <w:r>
        <w:t>GitHub;</w:t>
      </w:r>
    </w:p>
    <w:p>
      <w:pPr>
        <w:pStyle w:val="ListBullet"/>
      </w:pPr>
      <w:r>
        <w:t>PostgreSQL FTS + pg_trgm;</w:t>
      </w:r>
    </w:p>
    <w:p>
      <w:pPr>
        <w:pStyle w:val="ListBullet"/>
      </w:pPr>
      <w:r>
        <w:t>Vercel Cron + Postgres Trigger / Database Webhook;</w:t>
      </w:r>
    </w:p>
    <w:p>
      <w:pPr>
        <w:pStyle w:val="ListBullet"/>
      </w:pPr>
      <w:r>
        <w:t>Leaflet + OSM + approved geocoding abstraction;</w:t>
      </w:r>
    </w:p>
    <w:p>
      <w:pPr>
        <w:pStyle w:val="ListBullet"/>
      </w:pPr>
      <w:r>
        <w:t>Vitest / React Testing Library / Playwright.</w:t>
      </w:r>
    </w:p>
    <w:p>
      <w:pPr>
        <w:spacing w:after="80"/>
      </w:pPr>
      <w:r>
        <w:t>No new backend service is introduced by the MAEP synchronization.</w:t>
      </w:r>
    </w:p>
    <w:p>
      <w:pPr>
        <w:pStyle w:val="Heading1"/>
      </w:pPr>
      <w:r>
        <w:t>15. TECHNOLOGY PROVIDER BOUNDARIES</w:t>
      </w:r>
    </w:p>
    <w:p>
      <w:pPr>
        <w:spacing w:after="80"/>
      </w:pPr>
      <w:r>
        <w:t>Provider-specific integrations remain behind adapters.</w:t>
      </w:r>
    </w:p>
    <w:p>
      <w:pPr>
        <w:pStyle w:val="Heading3"/>
      </w:pPr>
      <w:r>
        <w:t>Learning Session providers</w:t>
      </w:r>
    </w:p>
    <w:p>
      <w:pPr>
        <w:spacing w:after="80"/>
      </w:pPr>
      <w:r>
        <w:t>Daily, LiveKit, Zoom, Google Meet and YouTube Live are capability/evidence candidates, not a mandatory universal provider lock.</w:t>
      </w:r>
    </w:p>
    <w:p>
      <w:pPr>
        <w:spacing w:after="80"/>
      </w:pPr>
      <w:r>
        <w:t>Provider capability verification does not equal vendor selection.</w:t>
      </w:r>
    </w:p>
    <w:p>
      <w:pPr>
        <w:pStyle w:val="Heading3"/>
      </w:pPr>
      <w:r>
        <w:t>Payment providers</w:t>
      </w:r>
    </w:p>
    <w:p>
      <w:pPr>
        <w:spacing w:after="80"/>
      </w:pPr>
      <w:r>
        <w:t>Midtrans is the selected MVP implementation provider behind the Provider Adapter. Xendit remains a possible future provider implementation behind the same abstraction boundary.</w:t>
      </w:r>
    </w:p>
    <w:p>
      <w:pPr>
        <w:pStyle w:val="Heading3"/>
      </w:pPr>
      <w:r>
        <w:t>AI</w:t>
      </w:r>
    </w:p>
    <w:p>
      <w:pPr>
        <w:spacing w:after="80"/>
      </w:pPr>
      <w:r>
        <w:t>AI is assistive.</w:t>
      </w:r>
    </w:p>
    <w:p>
      <w:pPr>
        <w:spacing w:after="80"/>
      </w:pPr>
      <w:r>
        <w:t>AI does not become authoritative for:</w:t>
      </w:r>
    </w:p>
    <w:p>
      <w:pPr>
        <w:pStyle w:val="ListBullet"/>
      </w:pPr>
      <w:r>
        <w:t>attendance;</w:t>
      </w:r>
    </w:p>
    <w:p>
      <w:pPr>
        <w:pStyle w:val="ListBullet"/>
      </w:pPr>
      <w:r>
        <w:t>completion;</w:t>
      </w:r>
    </w:p>
    <w:p>
      <w:pPr>
        <w:pStyle w:val="ListBullet"/>
      </w:pPr>
      <w:r>
        <w:t>LP;</w:t>
      </w:r>
    </w:p>
    <w:p>
      <w:pPr>
        <w:pStyle w:val="ListBullet"/>
      </w:pPr>
      <w:r>
        <w:t>competency;</w:t>
      </w:r>
    </w:p>
    <w:p>
      <w:pPr>
        <w:pStyle w:val="ListBullet"/>
      </w:pPr>
      <w:r>
        <w:t>credential;</w:t>
      </w:r>
    </w:p>
    <w:p>
      <w:pPr>
        <w:pStyle w:val="ListBullet"/>
      </w:pPr>
      <w:r>
        <w:t>Award;</w:t>
      </w:r>
    </w:p>
    <w:p>
      <w:pPr>
        <w:pStyle w:val="ListBullet"/>
      </w:pPr>
      <w:r>
        <w:t>Title;</w:t>
      </w:r>
    </w:p>
    <w:p>
      <w:pPr>
        <w:pStyle w:val="ListBullet"/>
      </w:pPr>
      <w:r>
        <w:t>RBAC.</w:t>
      </w:r>
    </w:p>
    <w:p>
      <w:pPr>
        <w:pStyle w:val="Heading1"/>
      </w:pPr>
      <w:r>
        <w:t>16. DEVELOPMENT RULES</w:t>
      </w:r>
    </w:p>
    <w:p>
      <w:pPr>
        <w:pStyle w:val="ListNumber"/>
      </w:pPr>
      <w:r>
        <w:t>Do not implement an unapproved architecture decision.</w:t>
      </w:r>
    </w:p>
    <w:p>
      <w:pPr>
        <w:pStyle w:val="ListNumber"/>
      </w:pPr>
      <w:r>
        <w:t>AI Coding Assistants may not make semantic architecture decisions unilaterally.</w:t>
      </w:r>
    </w:p>
    <w:p>
      <w:pPr>
        <w:pStyle w:val="ListNumber"/>
      </w:pPr>
      <w:r>
        <w:t>Every schema change must be synchronized with the canonical ERD/DB Dictionary.</w:t>
      </w:r>
    </w:p>
    <w:p>
      <w:pPr>
        <w:pStyle w:val="ListNumber"/>
      </w:pPr>
      <w:r>
        <w:t>Every endpoint change must be synchronized with the canonical API specification.</w:t>
      </w:r>
    </w:p>
    <w:p>
      <w:pPr>
        <w:pStyle w:val="ListNumber"/>
      </w:pPr>
      <w:r>
        <w:t>Every authorization change must remain aligned with canonical RBAC semantics.</w:t>
      </w:r>
    </w:p>
    <w:p>
      <w:pPr>
        <w:pStyle w:val="ListNumber"/>
      </w:pPr>
      <w:r>
        <w:t>Database production changes require reviewed migration files and rollback planning.</w:t>
      </w:r>
    </w:p>
    <w:p>
      <w:pPr>
        <w:pStyle w:val="ListNumber"/>
      </w:pPr>
      <w:r>
        <w:t>Semantic synchronization does not authorize physical migration.</w:t>
      </w:r>
    </w:p>
    <w:p>
      <w:pPr>
        <w:pStyle w:val="ListNumber"/>
      </w:pPr>
      <w:r>
        <w:t>Runtime verification must be evidence-based.</w:t>
      </w:r>
    </w:p>
    <w:p>
      <w:pPr>
        <w:pStyle w:val="ListNumber"/>
      </w:pPr>
      <w:r>
        <w:t>Existing audit/history patterns should be reused before introducing new history subsystems.</w:t>
      </w:r>
    </w:p>
    <w:p>
      <w:pPr>
        <w:pStyle w:val="ListNumber"/>
      </w:pPr>
      <w:r>
        <w:t>New systems/entities/layers require explicit justification and appropriate authority.</w:t>
      </w:r>
    </w:p>
    <w:p>
      <w:pPr>
        <w:pStyle w:val="Heading1"/>
      </w:pPr>
      <w:r>
        <w:t>17. CANONICAL DOCUMENT SYNCHRONIZATION RULE</w:t>
      </w:r>
    </w:p>
    <w:p>
      <w:r>
        <w:t>17.1 CORE v1.3 IMMUTABILITY / DETAIL PRESERVATION</w:t>
      </w:r>
    </w:p>
    <w:p>
      <w:r>
        <w:t>Core v1.3 remains the immutable baseline for this synchronization program. STEP09-A does not modify Core v1.3 and does not generate Integrated Core v1.4.</w:t>
      </w:r>
    </w:p>
    <w:p>
      <w:r>
        <w:t>Valid existing Constitution detail is preserved. A synchronization change is limited to the affected semantic/governance portion. No silent replacement, silent deletion, or whole-section overwrite is permitted merely because a downstream or module artifact is more detailed.</w:t>
      </w:r>
    </w:p>
    <w:p>
      <w:r>
        <w:t>Every propagated Constitution statement must remain traceable to an approved source decision/evidence record and its affected module/downstream step.</w:t>
      </w:r>
    </w:p>
    <w:p>
      <w:r>
        <w:t>17.2 STEP09-A BOUNDARY</w:t>
      </w:r>
    </w:p>
    <w:p>
      <w:r/>
    </w:p>
    <w:p>
      <w:pPr>
        <w:spacing w:after="80"/>
      </w:pPr>
      <w:r>
        <w:t>When a governing decision changes:</w:t>
      </w:r>
    </w:p>
    <w:p>
      <w:pPr>
        <w:spacing w:after="80"/>
      </w:pPr>
      <w:r>
        <w:t>```text</w:t>
      </w:r>
    </w:p>
    <w:p>
      <w:pPr>
        <w:spacing w:after="80"/>
      </w:pPr>
      <w:r>
        <w:t>Decision</w:t>
      </w:r>
    </w:p>
    <w:p>
      <w:pPr>
        <w:spacing w:after="80"/>
      </w:pPr>
      <w:r>
        <w:t xml:space="preserve">    ↓</w:t>
      </w:r>
    </w:p>
    <w:p>
      <w:pPr>
        <w:spacing w:after="80"/>
      </w:pPr>
      <w:r>
        <w:t>Impact analysis</w:t>
      </w:r>
    </w:p>
    <w:p>
      <w:pPr>
        <w:spacing w:after="80"/>
      </w:pPr>
      <w:r>
        <w:t xml:space="preserve">    ↓</w:t>
      </w:r>
    </w:p>
    <w:p>
      <w:pPr>
        <w:spacing w:after="80"/>
      </w:pPr>
      <w:r>
        <w:t>Affected canonical artifact</w:t>
      </w:r>
    </w:p>
    <w:p>
      <w:pPr>
        <w:spacing w:after="80"/>
      </w:pPr>
      <w:r>
        <w:t xml:space="preserve">    ↓</w:t>
      </w:r>
    </w:p>
    <w:p>
      <w:pPr>
        <w:spacing w:after="80"/>
      </w:pPr>
      <w:r>
        <w:t>Controlled revision</w:t>
      </w:r>
    </w:p>
    <w:p>
      <w:pPr>
        <w:spacing w:after="80"/>
      </w:pPr>
      <w:r>
        <w:t xml:space="preserve">    ↓</w:t>
      </w:r>
    </w:p>
    <w:p>
      <w:pPr>
        <w:spacing w:after="80"/>
      </w:pPr>
      <w:r>
        <w:t>Cross-document reconciliation</w:t>
      </w:r>
    </w:p>
    <w:p>
      <w:pPr>
        <w:spacing w:after="80"/>
      </w:pPr>
      <w:r>
        <w:t xml:space="preserve">    ↓</w:t>
      </w:r>
    </w:p>
    <w:p>
      <w:pPr>
        <w:spacing w:after="80"/>
      </w:pPr>
      <w:r>
        <w:t>Physical reality comparison</w:t>
      </w:r>
    </w:p>
    <w:p>
      <w:pPr>
        <w:ind w:left="288"/>
      </w:pPr>
      <w:r>
        <w:rPr>
          <w:rFonts w:ascii="Consolas" w:hAnsi="Consolas"/>
          <w:sz w:val="16"/>
        </w:rPr>
        <w:br/>
        <w:t>If unaffected:</w:t>
        <w:br/>
        <w:br/>
        <w:t>```text</w:t>
        <w:br/>
        <w:t>N/A — justified</w:t>
      </w:r>
    </w:p>
    <w:p>
      <w:pPr>
        <w:spacing w:after="80"/>
      </w:pPr>
      <w:r>
        <w:t>If inconsistent:</w:t>
      </w:r>
    </w:p>
    <w:p>
      <w:pPr>
        <w:spacing w:after="80"/>
      </w:pPr>
      <w:r>
        <w:t>```text</w:t>
      </w:r>
    </w:p>
    <w:p>
      <w:pPr>
        <w:spacing w:after="80"/>
      </w:pPr>
      <w:r>
        <w:t>DRIFT</w:t>
      </w:r>
    </w:p>
    <w:p>
      <w:pPr>
        <w:ind w:left="288"/>
      </w:pPr>
      <w:r>
        <w:rPr>
          <w:rFonts w:ascii="Consolas" w:hAnsi="Consolas"/>
          <w:sz w:val="16"/>
        </w:rPr>
        <w:br/>
        <w:t>If approved but not implemented:</w:t>
        <w:br/>
        <w:br/>
        <w:t>```text</w:t>
        <w:br/>
        <w:t>IMPLEMENTATION GAP</w:t>
      </w:r>
    </w:p>
    <w:p>
      <w:pPr>
        <w:spacing w:after="80"/>
      </w:pPr>
      <w:r>
        <w:t>If runtime cannot be verified:</w:t>
      </w:r>
    </w:p>
    <w:p>
      <w:pPr>
        <w:spacing w:after="80"/>
      </w:pPr>
      <w:r>
        <w:t>```text</w:t>
      </w:r>
    </w:p>
    <w:p>
      <w:pPr>
        <w:spacing w:after="80"/>
      </w:pPr>
      <w:r>
        <w:t>RUNTIME GAP</w:t>
      </w:r>
    </w:p>
    <w:p>
      <w:pPr>
        <w:ind w:left="288"/>
      </w:pPr>
      <w:r>
        <w:rPr>
          <w:rFonts w:ascii="Consolas" w:hAnsi="Consolas"/>
          <w:sz w:val="16"/>
        </w:rPr>
        <w:br/>
        <w:t>If genuinely unresolved:</w:t>
        <w:br/>
        <w:br/>
        <w:t>```text</w:t>
        <w:br/>
        <w:t>CONTROLLED RESIDUAL / OPEN DECISION</w:t>
      </w:r>
    </w:p>
    <w:p>
      <w:pPr>
        <w:spacing w:after="80"/>
      </w:pPr>
      <w:r>
        <w:t>No false closure is permitted.</w:t>
      </w:r>
    </w:p>
    <w:p>
      <w:pPr>
        <w:pStyle w:val="Heading1"/>
      </w:pPr>
      <w:r>
        <w:t>18. NO-REPEAT EXECUTION RULE</w:t>
      </w:r>
    </w:p>
    <w:p>
      <w:pPr>
        <w:spacing w:after="80"/>
      </w:pPr>
      <w:r>
        <w:t>Existing synchronization frameworks must be reused.</w:t>
      </w:r>
    </w:p>
    <w:p>
      <w:pPr>
        <w:spacing w:after="80"/>
      </w:pPr>
      <w:r>
        <w:t>Do not recreate:</w:t>
      </w:r>
    </w:p>
    <w:p>
      <w:pPr>
        <w:pStyle w:val="ListBullet"/>
      </w:pPr>
      <w:r>
        <w:t>P08-A;</w:t>
      </w:r>
    </w:p>
    <w:p>
      <w:pPr>
        <w:pStyle w:val="ListBullet"/>
      </w:pPr>
      <w:r>
        <w:t>P08-A.1;</w:t>
      </w:r>
    </w:p>
    <w:p>
      <w:pPr>
        <w:pStyle w:val="ListBullet"/>
      </w:pPr>
      <w:r>
        <w:t>P08-B;</w:t>
      </w:r>
    </w:p>
    <w:p>
      <w:pPr>
        <w:pStyle w:val="ListBullet"/>
      </w:pPr>
      <w:r>
        <w:t>P08-B.1;</w:t>
      </w:r>
    </w:p>
    <w:p>
      <w:pPr>
        <w:pStyle w:val="ListBullet"/>
      </w:pPr>
      <w:r>
        <w:t>P08-B.2;</w:t>
      </w:r>
    </w:p>
    <w:p>
      <w:pPr>
        <w:pStyle w:val="ListBullet"/>
      </w:pPr>
      <w:r>
        <w:t>P08-B.2.5;</w:t>
      </w:r>
    </w:p>
    <w:p>
      <w:pPr>
        <w:pStyle w:val="ListBullet"/>
      </w:pPr>
      <w:r>
        <w:t>MAEP;</w:t>
      </w:r>
    </w:p>
    <w:p>
      <w:pPr>
        <w:pStyle w:val="ListBullet"/>
      </w:pPr>
      <w:r>
        <w:t>Master BR;</w:t>
      </w:r>
    </w:p>
    <w:p>
      <w:pPr>
        <w:pStyle w:val="ListBullet"/>
      </w:pPr>
      <w:r>
        <w:t>existing reconciliation matrices.</w:t>
      </w:r>
    </w:p>
    <w:p>
      <w:pPr>
        <w:spacing w:after="80"/>
      </w:pPr>
      <w:r>
        <w:t>Use existing artifacts as inputs and perform only the required controlled delta.</w:t>
      </w:r>
    </w:p>
    <w:p>
      <w:pPr>
        <w:spacing w:after="80"/>
      </w:pPr>
      <w:r>
        <w:t>Wave sequence remains:</w:t>
      </w:r>
    </w:p>
    <w:p>
      <w:pPr>
        <w:spacing w:after="80"/>
      </w:pPr>
      <w:r>
        <w:t>```text</w:t>
      </w:r>
    </w:p>
    <w:p>
      <w:pPr>
        <w:spacing w:after="80"/>
      </w:pPr>
      <w:r>
        <w:t>Wave 1 — Governance</w:t>
      </w:r>
    </w:p>
    <w:p>
      <w:pPr>
        <w:spacing w:after="80"/>
      </w:pPr>
      <w:r>
        <w:t xml:space="preserve">        ↓</w:t>
      </w:r>
    </w:p>
    <w:p>
      <w:pPr>
        <w:spacing w:after="80"/>
      </w:pPr>
      <w:r>
        <w:t>Wave 2 — Architecture</w:t>
      </w:r>
    </w:p>
    <w:p>
      <w:pPr>
        <w:spacing w:after="80"/>
      </w:pPr>
      <w:r>
        <w:t xml:space="preserve">        ↓</w:t>
      </w:r>
    </w:p>
    <w:p>
      <w:pPr>
        <w:spacing w:after="80"/>
      </w:pPr>
      <w:r>
        <w:t>Wave 3 — Product</w:t>
      </w:r>
    </w:p>
    <w:p>
      <w:pPr>
        <w:spacing w:after="80"/>
      </w:pPr>
      <w:r>
        <w:t xml:space="preserve">        ↓</w:t>
      </w:r>
    </w:p>
    <w:p>
      <w:pPr>
        <w:spacing w:after="80"/>
      </w:pPr>
      <w:r>
        <w:t>Wave 4 — Physical Reality</w:t>
      </w:r>
    </w:p>
    <w:p>
      <w:pPr>
        <w:spacing w:after="80"/>
      </w:pPr>
      <w:r>
        <w:t xml:space="preserve">        ↓</w:t>
      </w:r>
    </w:p>
    <w:p>
      <w:pPr>
        <w:spacing w:after="80"/>
      </w:pPr>
      <w:r>
        <w:t>Wave 5 — Canonical Closure</w:t>
      </w:r>
    </w:p>
    <w:p>
      <w:pPr>
        <w:ind w:left="288"/>
      </w:pPr>
      <w:r>
        <w:rPr>
          <w:rFonts w:ascii="Consolas" w:hAnsi="Consolas"/>
          <w:sz w:val="16"/>
        </w:rPr>
        <w:br/>
        <w:t>---</w:t>
        <w:br/>
        <w:br/>
        <w:t># 19. HISTORICAL PROVENANCE</w:t>
        <w:br/>
        <w:br/>
        <w:t>Historical artifacts are preserved.</w:t>
        <w:br/>
        <w:br/>
        <w:t>```text</w:t>
        <w:br/>
        <w:t>Decision Log</w:t>
        <w:br/>
        <w:t xml:space="preserve">    = append-only chronology</w:t>
        <w:br/>
        <w:br/>
        <w:t>Changelog</w:t>
        <w:br/>
        <w:t xml:space="preserve">    = append-only evolution</w:t>
        <w:br/>
        <w:br/>
        <w:t>Legacy architecture / ERD / API</w:t>
        <w:br/>
        <w:t xml:space="preserve">    = historical/provenance evidence</w:t>
        <w:br/>
        <w:br/>
        <w:t>AEP impact packages</w:t>
        <w:br/>
        <w:t xml:space="preserve">    = traceability/provenance</w:t>
      </w:r>
    </w:p>
    <w:p>
      <w:pPr>
        <w:spacing w:after="80"/>
      </w:pPr>
      <w:r>
        <w:t>A later canonical revision does not erase the earlier state.</w:t>
      </w:r>
    </w:p>
    <w:p>
      <w:pPr>
        <w:pStyle w:val="Heading1"/>
      </w:pPr>
      <w:r>
        <w:t>20. IMPLEMENTATION-READINESS BOUNDARY</w:t>
      </w:r>
    </w:p>
    <w:p>
      <w:pPr>
        <w:spacing w:after="80"/>
      </w:pPr>
      <w:r>
        <w:t>The following are never inferred as implemented merely because this Constitution is current:</w:t>
      </w:r>
    </w:p>
    <w:p>
      <w:pPr>
        <w:pStyle w:val="ListBullet"/>
      </w:pPr>
      <w:r>
        <w:t>database migration;</w:t>
      </w:r>
    </w:p>
    <w:p>
      <w:pPr>
        <w:pStyle w:val="ListBullet"/>
      </w:pPr>
      <w:r>
        <w:t>provider activation;</w:t>
      </w:r>
    </w:p>
    <w:p>
      <w:pPr>
        <w:pStyle w:val="ListBullet"/>
      </w:pPr>
      <w:r>
        <w:t>production payment provider;</w:t>
      </w:r>
    </w:p>
    <w:p>
      <w:pPr>
        <w:pStyle w:val="ListBullet"/>
      </w:pPr>
      <w:r>
        <w:t>automatic provider failover;</w:t>
      </w:r>
    </w:p>
    <w:p>
      <w:pPr>
        <w:pStyle w:val="ListBullet"/>
      </w:pPr>
      <w:r>
        <w:t>final RLS mechanics;</w:t>
      </w:r>
    </w:p>
    <w:p>
      <w:pPr>
        <w:pStyle w:val="ListBullet"/>
      </w:pPr>
      <w:r>
        <w:t>final permission IDs;</w:t>
      </w:r>
    </w:p>
    <w:p>
      <w:pPr>
        <w:pStyle w:val="ListBullet"/>
      </w:pPr>
      <w:r>
        <w:t>frontend runtime closure;</w:t>
      </w:r>
    </w:p>
    <w:p>
      <w:pPr>
        <w:pStyle w:val="ListBullet"/>
      </w:pPr>
      <w:r>
        <w:t>runtime integration;</w:t>
      </w:r>
    </w:p>
    <w:p>
      <w:pPr>
        <w:pStyle w:val="ListBullet"/>
      </w:pPr>
      <w:r>
        <w:t>production authorization.</w:t>
      </w:r>
    </w:p>
    <w:p>
      <w:pPr>
        <w:pStyle w:val="Heading1"/>
      </w:pPr>
      <w:r>
        <w:t>21. CURRENT GOVERNANCE DECISION STATE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Decision</w:t>
            </w:r>
          </w:p>
        </w:tc>
        <w:tc>
          <w:tcPr>
            <w:tcW w:type="dxa" w:w="5040"/>
            <w:shd w:fill="D9EAF7"/>
          </w:tcPr>
          <w:p>
            <w:r>
              <w:rPr>
                <w:b/>
                <w:sz w:val="16"/>
              </w:rPr>
            </w:r>
            <w:r>
              <w:rPr>
                <w:b/>
                <w:sz w:val="16"/>
              </w:rPr>
              <w:t>Current state</w:t>
            </w:r>
          </w:p>
        </w:tc>
      </w:tr>
      <w:tr>
        <w:tc>
          <w:tcPr>
            <w:tcW w:type="dxa" w:w="5040"/>
          </w:tcPr>
          <w:p>
            <w:r>
              <w:rPr>
                <w:sz w:val="16"/>
              </w:rPr>
            </w:r>
            <w:r>
              <w:rPr>
                <w:sz w:val="16"/>
              </w:rPr>
              <w:t>MADCR-010</w:t>
            </w:r>
          </w:p>
        </w:tc>
        <w:tc>
          <w:tcPr>
            <w:tcW w:type="dxa" w:w="5040"/>
          </w:tcPr>
          <w:p>
            <w:r>
              <w:rPr>
                <w:sz w:val="16"/>
              </w:rPr>
            </w:r>
            <w:r>
              <w:rPr>
                <w:sz w:val="16"/>
              </w:rPr>
              <w:t>APPROVED / GOVERNING</w:t>
            </w:r>
          </w:p>
        </w:tc>
      </w:tr>
      <w:tr>
        <w:tc>
          <w:tcPr>
            <w:tcW w:type="dxa" w:w="5040"/>
          </w:tcPr>
          <w:p>
            <w:r>
              <w:rPr>
                <w:sz w:val="16"/>
              </w:rPr>
            </w:r>
            <w:r>
              <w:rPr>
                <w:sz w:val="16"/>
              </w:rPr>
              <w:t>MADCR-011</w:t>
            </w:r>
          </w:p>
        </w:tc>
        <w:tc>
          <w:tcPr>
            <w:tcW w:type="dxa" w:w="5040"/>
          </w:tcPr>
          <w:p>
            <w:r>
              <w:rPr>
                <w:sz w:val="16"/>
              </w:rPr>
            </w:r>
            <w:r>
              <w:rPr>
                <w:sz w:val="16"/>
              </w:rPr>
              <w:t>APPROVED / GOVERNING</w:t>
            </w:r>
          </w:p>
        </w:tc>
      </w:tr>
      <w:tr>
        <w:tc>
          <w:tcPr>
            <w:tcW w:type="dxa" w:w="5040"/>
          </w:tcPr>
          <w:p>
            <w:r>
              <w:rPr>
                <w:sz w:val="16"/>
              </w:rPr>
            </w:r>
            <w:r>
              <w:rPr>
                <w:sz w:val="16"/>
              </w:rPr>
              <w:t>MADCR-002</w:t>
            </w:r>
          </w:p>
        </w:tc>
        <w:tc>
          <w:tcPr>
            <w:tcW w:type="dxa" w:w="5040"/>
          </w:tcPr>
          <w:p>
            <w:r>
              <w:rPr>
                <w:sz w:val="16"/>
              </w:rPr>
            </w:r>
            <w:r>
              <w:rPr>
                <w:sz w:val="16"/>
              </w:rPr>
              <w:t>APPROVED / GOVERNING</w:t>
            </w:r>
          </w:p>
        </w:tc>
      </w:tr>
      <w:tr>
        <w:tc>
          <w:tcPr>
            <w:tcW w:type="dxa" w:w="5040"/>
          </w:tcPr>
          <w:p>
            <w:r>
              <w:rPr>
                <w:sz w:val="16"/>
              </w:rPr>
            </w:r>
            <w:r>
              <w:rPr>
                <w:sz w:val="16"/>
              </w:rPr>
              <w:t>MADCR-003</w:t>
            </w:r>
          </w:p>
        </w:tc>
        <w:tc>
          <w:tcPr>
            <w:tcW w:type="dxa" w:w="5040"/>
          </w:tcPr>
          <w:p>
            <w:r>
              <w:rPr>
                <w:sz w:val="16"/>
              </w:rPr>
            </w:r>
            <w:r>
              <w:rPr>
                <w:sz w:val="16"/>
              </w:rPr>
              <w:t>APPROVED / GOVERNING</w:t>
            </w:r>
          </w:p>
        </w:tc>
      </w:tr>
      <w:tr>
        <w:tc>
          <w:tcPr>
            <w:tcW w:type="dxa" w:w="5040"/>
          </w:tcPr>
          <w:p>
            <w:r>
              <w:rPr>
                <w:sz w:val="16"/>
              </w:rPr>
            </w:r>
            <w:r>
              <w:rPr>
                <w:sz w:val="16"/>
              </w:rPr>
              <w:t>MADCR-005</w:t>
            </w:r>
          </w:p>
        </w:tc>
        <w:tc>
          <w:tcPr>
            <w:tcW w:type="dxa" w:w="5040"/>
          </w:tcPr>
          <w:p>
            <w:r>
              <w:rPr>
                <w:sz w:val="16"/>
              </w:rPr>
            </w:r>
            <w:r>
              <w:rPr>
                <w:sz w:val="16"/>
              </w:rPr>
              <w:t>APPROVED / GOVERNING</w:t>
            </w:r>
          </w:p>
        </w:tc>
      </w:tr>
      <w:tr>
        <w:tc>
          <w:tcPr>
            <w:tcW w:type="dxa" w:w="5040"/>
          </w:tcPr>
          <w:p>
            <w:r>
              <w:rPr>
                <w:sz w:val="16"/>
              </w:rPr>
            </w:r>
            <w:r>
              <w:rPr>
                <w:sz w:val="16"/>
              </w:rPr>
              <w:t>MADCR-036</w:t>
            </w:r>
          </w:p>
        </w:tc>
        <w:tc>
          <w:tcPr>
            <w:tcW w:type="dxa" w:w="5040"/>
          </w:tcPr>
          <w:p>
            <w:r>
              <w:rPr>
                <w:sz w:val="16"/>
              </w:rPr>
            </w:r>
            <w:r>
              <w:rPr>
                <w:sz w:val="16"/>
              </w:rPr>
              <w:t>APPROVED / GOVERNING</w:t>
            </w:r>
          </w:p>
        </w:tc>
      </w:tr>
      <w:tr>
        <w:tc>
          <w:tcPr>
            <w:tcW w:type="dxa" w:w="5040"/>
          </w:tcPr>
          <w:p>
            <w:r>
              <w:rPr>
                <w:sz w:val="16"/>
              </w:rPr>
            </w:r>
            <w:r>
              <w:rPr>
                <w:sz w:val="16"/>
              </w:rPr>
              <w:t>MADCR-049</w:t>
            </w:r>
          </w:p>
        </w:tc>
        <w:tc>
          <w:tcPr>
            <w:tcW w:type="dxa" w:w="5040"/>
          </w:tcPr>
          <w:p>
            <w:r>
              <w:rPr>
                <w:sz w:val="16"/>
              </w:rPr>
            </w:r>
            <w:r>
              <w:rPr>
                <w:sz w:val="16"/>
              </w:rPr>
              <w:t>APPROVED / GOVERNING</w:t>
            </w:r>
          </w:p>
        </w:tc>
      </w:tr>
      <w:tr>
        <w:tc>
          <w:tcPr>
            <w:tcW w:type="dxa" w:w="5040"/>
          </w:tcPr>
          <w:p>
            <w:r>
              <w:rPr>
                <w:sz w:val="16"/>
              </w:rPr>
            </w:r>
            <w:r>
              <w:rPr>
                <w:sz w:val="16"/>
              </w:rPr>
              <w:t>MADCR-053</w:t>
            </w:r>
          </w:p>
        </w:tc>
        <w:tc>
          <w:tcPr>
            <w:tcW w:type="dxa" w:w="5040"/>
          </w:tcPr>
          <w:p>
            <w:r>
              <w:rPr>
                <w:sz w:val="16"/>
              </w:rPr>
            </w:r>
            <w:r>
              <w:rPr>
                <w:sz w:val="16"/>
              </w:rPr>
              <w:t>APPROVED / GOVERNING</w:t>
            </w:r>
          </w:p>
        </w:tc>
      </w:tr>
      <w:tr>
        <w:tc>
          <w:tcPr>
            <w:tcW w:type="dxa" w:w="5040"/>
          </w:tcPr>
          <w:p>
            <w:r>
              <w:rPr>
                <w:sz w:val="16"/>
              </w:rPr>
            </w:r>
            <w:r>
              <w:rPr>
                <w:sz w:val="16"/>
              </w:rPr>
              <w:t>MADCR-054</w:t>
            </w:r>
          </w:p>
        </w:tc>
        <w:tc>
          <w:tcPr>
            <w:tcW w:type="dxa" w:w="5040"/>
          </w:tcPr>
          <w:p>
            <w:r>
              <w:rPr>
                <w:sz w:val="16"/>
              </w:rPr>
            </w:r>
            <w:r>
              <w:rPr>
                <w:sz w:val="16"/>
              </w:rPr>
              <w:t>APPROVED / GOVERNING</w:t>
            </w:r>
          </w:p>
        </w:tc>
      </w:tr>
      <w:tr>
        <w:tc>
          <w:tcPr>
            <w:tcW w:type="dxa" w:w="5040"/>
          </w:tcPr>
          <w:p>
            <w:r>
              <w:rPr>
                <w:sz w:val="16"/>
              </w:rPr>
            </w:r>
            <w:r>
              <w:rPr>
                <w:sz w:val="16"/>
              </w:rPr>
              <w:t>OPEN-C01 / MADCR-012</w:t>
            </w:r>
          </w:p>
        </w:tc>
        <w:tc>
          <w:tcPr>
            <w:tcW w:type="dxa" w:w="5040"/>
          </w:tcPr>
          <w:p>
            <w:r>
              <w:rPr>
                <w:sz w:val="16"/>
              </w:rPr>
            </w:r>
            <w:r>
              <w:rPr>
                <w:b/>
                <w:sz w:val="16"/>
              </w:rPr>
              <w:t>CLOSED — GOVERNING</w:t>
            </w:r>
          </w:p>
        </w:tc>
      </w:tr>
      <w:tr>
        <w:tc>
          <w:tcPr>
            <w:tcW w:type="dxa" w:w="5040"/>
          </w:tcPr>
          <w:p>
            <w:r>
              <w:rPr>
                <w:sz w:val="16"/>
              </w:rPr>
            </w:r>
            <w:r>
              <w:rPr>
                <w:sz w:val="16"/>
              </w:rPr>
              <w:t>AEP3-OD-02</w:t>
            </w:r>
          </w:p>
        </w:tc>
        <w:tc>
          <w:tcPr>
            <w:tcW w:type="dxa" w:w="5040"/>
          </w:tcPr>
          <w:p>
            <w:r>
              <w:rPr>
                <w:sz w:val="16"/>
              </w:rPr>
            </w:r>
            <w:r>
              <w:rPr>
                <w:sz w:val="16"/>
              </w:rPr>
              <w:t>CLOSED — semantic</w:t>
            </w:r>
          </w:p>
        </w:tc>
      </w:tr>
      <w:tr>
        <w:tc>
          <w:tcPr>
            <w:tcW w:type="dxa" w:w="5040"/>
          </w:tcPr>
          <w:p>
            <w:r>
              <w:rPr>
                <w:sz w:val="16"/>
              </w:rPr>
            </w:r>
            <w:r>
              <w:rPr>
                <w:sz w:val="16"/>
              </w:rPr>
              <w:t>AEP3-OD-03</w:t>
            </w:r>
          </w:p>
        </w:tc>
        <w:tc>
          <w:tcPr>
            <w:tcW w:type="dxa" w:w="5040"/>
          </w:tcPr>
          <w:p>
            <w:r>
              <w:rPr>
                <w:sz w:val="16"/>
              </w:rPr>
            </w:r>
            <w:r>
              <w:rPr>
                <w:sz w:val="16"/>
              </w:rPr>
              <w:t>CLOSED — GOVERNING</w:t>
            </w:r>
          </w:p>
        </w:tc>
      </w:tr>
      <w:tr>
        <w:tc>
          <w:tcPr>
            <w:tcW w:type="dxa" w:w="5040"/>
          </w:tcPr>
          <w:p>
            <w:r>
              <w:rPr>
                <w:sz w:val="16"/>
              </w:rPr>
            </w:r>
            <w:r>
              <w:rPr>
                <w:sz w:val="16"/>
              </w:rPr>
              <w:t>AEP3-OD-04</w:t>
            </w:r>
          </w:p>
        </w:tc>
        <w:tc>
          <w:tcPr>
            <w:tcW w:type="dxa" w:w="5040"/>
          </w:tcPr>
          <w:p>
            <w:r>
              <w:rPr>
                <w:sz w:val="16"/>
              </w:rPr>
            </w:r>
            <w:r>
              <w:rPr>
                <w:sz w:val="16"/>
              </w:rPr>
              <w:t>CLOSED — semantic</w:t>
            </w:r>
          </w:p>
        </w:tc>
      </w:tr>
      <w:tr>
        <w:tc>
          <w:tcPr>
            <w:tcW w:type="dxa" w:w="5040"/>
          </w:tcPr>
          <w:p>
            <w:r>
              <w:rPr>
                <w:sz w:val="16"/>
              </w:rPr>
            </w:r>
            <w:r>
              <w:rPr>
                <w:sz w:val="16"/>
              </w:rPr>
              <w:t>AEP3-OD-05</w:t>
            </w:r>
          </w:p>
        </w:tc>
        <w:tc>
          <w:tcPr>
            <w:tcW w:type="dxa" w:w="5040"/>
          </w:tcPr>
          <w:p>
            <w:r>
              <w:rPr>
                <w:sz w:val="16"/>
              </w:rPr>
            </w:r>
            <w:r>
              <w:rPr>
                <w:sz w:val="16"/>
              </w:rPr>
              <w:t>CLOSED — semantic</w:t>
            </w:r>
          </w:p>
        </w:tc>
      </w:tr>
      <w:tr>
        <w:tc>
          <w:tcPr>
            <w:tcW w:type="dxa" w:w="5040"/>
          </w:tcPr>
          <w:p>
            <w:r>
              <w:rPr>
                <w:sz w:val="16"/>
              </w:rPr>
            </w:r>
            <w:r>
              <w:rPr>
                <w:sz w:val="16"/>
              </w:rPr>
              <w:t>AEP4-OD-08</w:t>
            </w:r>
          </w:p>
        </w:tc>
        <w:tc>
          <w:tcPr>
            <w:tcW w:type="dxa" w:w="5040"/>
          </w:tcPr>
          <w:p>
            <w:r>
              <w:rPr>
                <w:sz w:val="16"/>
              </w:rPr>
            </w:r>
            <w:r>
              <w:rPr>
                <w:sz w:val="16"/>
              </w:rPr>
              <w:t>CLOSED — GOVERNING</w:t>
            </w:r>
          </w:p>
        </w:tc>
      </w:tr>
      <w:tr>
        <w:tc>
          <w:tcPr>
            <w:tcW w:type="dxa" w:w="5040"/>
          </w:tcPr>
          <w:p>
            <w:r>
              <w:rPr>
                <w:sz w:val="16"/>
              </w:rPr>
            </w:r>
            <w:r>
              <w:rPr>
                <w:sz w:val="16"/>
              </w:rPr>
              <w:t>MADCR-058</w:t>
            </w:r>
          </w:p>
        </w:tc>
        <w:tc>
          <w:tcPr>
            <w:tcW w:type="dxa" w:w="5040"/>
          </w:tcPr>
          <w:p>
            <w:r>
              <w:rPr>
                <w:sz w:val="16"/>
              </w:rPr>
            </w:r>
            <w:r>
              <w:rPr>
                <w:sz w:val="16"/>
              </w:rPr>
              <w:t>CLOSED — GOVERNING — Midtrans MVP behind Provider Adapter</w:t>
            </w:r>
          </w:p>
        </w:tc>
      </w:tr>
      <w:tr>
        <w:tc>
          <w:tcPr>
            <w:tcW w:type="dxa" w:w="5040"/>
          </w:tcPr>
          <w:p>
            <w:r>
              <w:rPr>
                <w:sz w:val="16"/>
              </w:rPr>
            </w:r>
            <w:r>
              <w:rPr>
                <w:sz w:val="16"/>
              </w:rPr>
              <w:t>MBR-COM-001–013</w:t>
            </w:r>
          </w:p>
        </w:tc>
        <w:tc>
          <w:tcPr>
            <w:tcW w:type="dxa" w:w="5040"/>
          </w:tcPr>
          <w:p>
            <w:r>
              <w:rPr>
                <w:sz w:val="16"/>
              </w:rPr>
            </w:r>
            <w:r>
              <w:rPr>
                <w:sz w:val="16"/>
              </w:rPr>
              <w:t>CLOSED — OWNER APPROVED</w:t>
            </w:r>
          </w:p>
        </w:tc>
      </w:tr>
    </w:tbl>
    <w:p/>
    <w:p>
      <w:pPr>
        <w:pStyle w:val="Heading3"/>
      </w:pPr>
      <w:r>
        <w:t>OPEN-C01 closure</w:t>
      </w:r>
    </w:p>
    <w:p>
      <w:pPr>
        <w:spacing w:after="80"/>
      </w:pPr>
      <w:r>
        <w:t>```text</w:t>
      </w:r>
    </w:p>
    <w:p>
      <w:pPr>
        <w:spacing w:after="80"/>
      </w:pPr>
      <w:r>
        <w:t>AEP-MON-001</w:t>
      </w:r>
    </w:p>
    <w:p>
      <w:pPr>
        <w:spacing w:after="80"/>
      </w:pPr>
      <w:r>
        <w:t xml:space="preserve">    = broader Commercial/Monetization architecture</w:t>
      </w:r>
    </w:p>
    <w:p>
      <w:pPr>
        <w:spacing w:after="80"/>
      </w:pPr>
      <w:r>
        <w:t>AEP-MON-002</w:t>
      </w:r>
    </w:p>
    <w:p>
      <w:pPr>
        <w:spacing w:after="80"/>
      </w:pPr>
      <w:r>
        <w:t xml:space="preserve">    = narrower refinement/operationalization</w:t>
      </w:r>
    </w:p>
    <w:p>
      <w:pPr>
        <w:spacing w:after="80"/>
      </w:pPr>
      <w:r>
        <w:t>Overlap</w:t>
      </w:r>
    </w:p>
    <w:p>
      <w:pPr>
        <w:spacing w:after="80"/>
      </w:pPr>
      <w:r>
        <w:t xml:space="preserve">    = more specific approved refinement applies</w:t>
      </w:r>
    </w:p>
    <w:p>
      <w:pPr>
        <w:spacing w:after="80"/>
      </w:pPr>
      <w:r>
        <w:t>Non-overlap</w:t>
      </w:r>
    </w:p>
    <w:p>
      <w:pPr>
        <w:spacing w:after="80"/>
      </w:pPr>
      <w:r>
        <w:t xml:space="preserve">    = each remains applicable within its scope</w:t>
      </w:r>
    </w:p>
    <w:p>
      <w:pPr>
        <w:ind w:left="288"/>
      </w:pPr>
      <w:r>
        <w:rPr>
          <w:rFonts w:ascii="Consolas" w:hAnsi="Consolas"/>
          <w:sz w:val="16"/>
        </w:rPr>
        <w:br/>
        <w:t>No new domain, entity, authority, system, or OD is created.</w:t>
        <w:br/>
        <w:br/>
        <w:t>---</w:t>
        <w:br/>
        <w:br/>
        <w:t># 22. CURRENT CONTROLLED RESIDUALS</w:t>
        <w:br/>
        <w:br/>
        <w:t>Genuine residuals include:</w:t>
        <w:br/>
        <w:br/>
        <w:t>1. Exact physical Learning Activity representation.</w:t>
        <w:br/>
        <w:t>2. Exact permission IDs / RLS implementation.</w:t>
        <w:br/>
        <w:t>3. Provider operational OAuth/API/webhook/plan/quota constraints.</w:t>
        <w:br/>
        <w:t>4. Recording retention/privacy/replay policy.</w:t>
        <w:br/>
        <w:t>5. Commercial/Payment physical implementation completeness.</w:t>
        <w:br/>
        <w:t>6. Runtime verification and production authorization.</w:t>
        <w:br/>
        <w:t>7. Exact downstream physical/API/UI details where not yet frozen.</w:t>
        <w:br/>
        <w:t>6. Exact permission IDs / RLS implementation.</w:t>
        <w:br/>
        <w:t>7. Provider operational OAuth/API/webhook/plan/quota constraints.</w:t>
        <w:br/>
        <w:t>8. Recording retention/privacy/replay policy.</w:t>
        <w:br/>
        <w:t>9. Commercial/Payment physical implementation completeness.</w:t>
        <w:br/>
        <w:t>10. Runtime verification and production authorization.</w:t>
        <w:br/>
        <w:br/>
        <w:t>A residual must not be silently promoted to CLOSED.</w:t>
        <w:br/>
        <w:br/>
        <w:t>---</w:t>
        <w:br/>
        <w:br/>
        <w:t># 23. SOURCE OF TRUTH</w:t>
        <w:br/>
        <w:br/>
        <w:t>For current engineering work:</w:t>
        <w:br/>
        <w:br/>
        <w:t>```text</w:t>
        <w:br/>
        <w:t>1. Explicit Owner-approved decisions</w:t>
        <w:br/>
        <w:t xml:space="preserve">       ↓</w:t>
        <w:br/>
        <w:t>2. Normative Master Business Rules</w:t>
        <w:br/>
        <w:t xml:space="preserve">       ↓</w:t>
        <w:br/>
        <w:t>3. Approved MADCR / ADR / closed OD</w:t>
        <w:br/>
        <w:t xml:space="preserve">       ↓</w:t>
        <w:br/>
        <w:t>4. Project Constitution / Governance authority</w:t>
        <w:br/>
        <w:t xml:space="preserve">       ↓</w:t>
        <w:br/>
        <w:t>5. System Architecture / Technical Decisions</w:t>
        <w:br/>
        <w:t xml:space="preserve">       ↓</w:t>
        <w:br/>
        <w:t>6. Current PRD / User Flow / ERD / Database Dictionary / API / RBAC</w:t>
        <w:br/>
        <w:t xml:space="preserve">       ↓</w:t>
        <w:br/>
        <w:t>7. W4-01E frozen physical design</w:t>
        <w:br/>
        <w:t xml:space="preserve">       ↓</w:t>
        <w:br/>
        <w:t>8. W4-02 executable physical baseline</w:t>
        <w:br/>
        <w:t xml:space="preserve">       ↓</w:t>
        <w:br/>
        <w:t>9. W4-03 runtime verification</w:t>
      </w:r>
    </w:p>
    <w:p>
      <w:pPr>
        <w:spacing w:after="80"/>
      </w:pPr>
      <w:r>
        <w:t>The Master Business Rules remain the normative business-rule authority across the relevant layers.</w:t>
      </w:r>
    </w:p>
    <w:p>
      <w:pPr>
        <w:spacing w:after="80"/>
      </w:pPr>
      <w:r>
        <w:t>Decision Log is historical chronology and does not replace governing ADR/MADCR authority.</w:t>
      </w:r>
    </w:p>
    <w:p>
      <w:pPr>
        <w:spacing w:after="80"/>
      </w:pPr>
      <w:r>
        <w:t>AEP impact packages provide traceability and evidence.</w:t>
      </w:r>
    </w:p>
    <w:p>
      <w:pPr>
        <w:pStyle w:val="Heading1"/>
      </w:pPr>
      <w:r>
        <w:t>24. GOVERNANCE / VERSION CONTROL</w:t>
      </w:r>
    </w:p>
    <w:p>
      <w:pPr>
        <w:spacing w:after="80"/>
      </w:pPr>
      <w:r>
        <w:t>A formal document revision requires:</w:t>
      </w:r>
    </w:p>
    <w:p>
      <w:pPr>
        <w:pStyle w:val="ListNumber"/>
      </w:pPr>
      <w:r>
        <w:t>identify the current formal version;</w:t>
      </w:r>
    </w:p>
    <w:p>
      <w:pPr>
        <w:pStyle w:val="ListNumber"/>
      </w:pPr>
      <w:r>
        <w:t>identify governing change/evidence;</w:t>
      </w:r>
    </w:p>
    <w:p>
      <w:pPr>
        <w:pStyle w:val="ListNumber"/>
      </w:pPr>
      <w:r>
        <w:t>identify affected sections;</w:t>
      </w:r>
    </w:p>
    <w:p>
      <w:pPr>
        <w:pStyle w:val="ListNumber"/>
      </w:pPr>
      <w:r>
        <w:t>revise only the affected canonical state;</w:t>
      </w:r>
    </w:p>
    <w:p>
      <w:pPr>
        <w:pStyle w:val="ListNumber"/>
      </w:pPr>
      <w:r>
        <w:t>preserve historical provenance;</w:t>
      </w:r>
    </w:p>
    <w:p>
      <w:pPr>
        <w:pStyle w:val="ListNumber"/>
      </w:pPr>
      <w:r>
        <w:t>perform post-edit reconciliation;</w:t>
      </w:r>
    </w:p>
    <w:p>
      <w:pPr>
        <w:pStyle w:val="ListNumber"/>
      </w:pPr>
      <w:r>
        <w:t>update Decision Log / Changelog as applicable.</w:t>
      </w:r>
    </w:p>
    <w:p>
      <w:pPr>
        <w:spacing w:after="80"/>
      </w:pPr>
      <w:r>
        <w:t>A filename alone never determines formal version authority.</w:t>
      </w:r>
    </w:p>
    <w:p>
      <w:pPr>
        <w:pStyle w:val="Heading1"/>
      </w:pPr>
      <w:r>
        <w:t>25. CURRENT PROJECT STATE / DEVELOPMENT REALITY</w:t>
      </w:r>
    </w:p>
    <w:p>
      <w:pPr>
        <w:spacing w:after="80"/>
      </w:pPr>
      <w:r/>
    </w:p>
    <w:p>
      <w:pPr>
        <w:spacing w:after="80"/>
      </w:pPr>
      <w:r>
        <w:t>It separates:</w:t>
      </w:r>
    </w:p>
    <w:p>
      <w:pPr>
        <w:spacing w:after="80"/>
      </w:pPr>
      <w:r>
        <w:t>```text</w:t>
      </w:r>
    </w:p>
    <w:p>
      <w:pPr>
        <w:spacing w:after="80"/>
      </w:pPr>
      <w:r>
        <w:t>Migration source</w:t>
      </w:r>
    </w:p>
    <w:p>
      <w:pPr>
        <w:spacing w:after="80"/>
      </w:pPr>
      <w:r>
        <w:t>≠ Executed Development DB</w:t>
      </w:r>
    </w:p>
    <w:p>
      <w:pPr>
        <w:spacing w:after="80"/>
      </w:pPr>
      <w:r>
        <w:t>≠ Runtime verification</w:t>
      </w:r>
    </w:p>
    <w:p>
      <w:pPr>
        <w:spacing w:after="80"/>
      </w:pPr>
      <w:r>
        <w:t>≠ Production authorization</w:t>
      </w:r>
    </w:p>
    <w:p>
      <w:pPr>
        <w:ind w:left="288"/>
      </w:pPr>
      <w:r>
        <w:rPr>
          <w:rFonts w:ascii="Consolas" w:hAnsi="Consolas"/>
          <w:sz w:val="16"/>
        </w:rPr>
        <w:br/>
        <w:t>The Constitution does not claim that runtime or production is complete.</w:t>
        <w:br/>
        <w:br/>
        <w:t>Development evidence must be used to classify implementation/runtime gaps.</w:t>
        <w:br/>
        <w:br/>
        <w:t>---</w:t>
        <w:br/>
        <w:br/>
        <w:t># 26. CURRENT PROGRAM POSITION</w:t>
        <w:br/>
        <w:br/>
        <w:t>Wave 1 governance is not restarted.</w:t>
        <w:br/>
        <w:br/>
        <w:t>The controlled Constitution revision is now complete.</w:t>
        <w:br/>
        <w:br/>
        <w:t>The project continues through the locked W4-02A.6 serial consolidation:</w:t>
        <w:br/>
        <w:br/>
        <w:t>```text</w:t>
        <w:br/>
        <w:t>6.1 Project Constitution</w:t>
        <w:br/>
        <w:t xml:space="preserve">        ↓</w:t>
        <w:br/>
        <w:t>6.2 Governance Register</w:t>
        <w:br/>
        <w:t xml:space="preserve">        ↓</w:t>
        <w:br/>
        <w:t>6.3–6.9 Governance / project-control artifacts</w:t>
        <w:br/>
        <w:t xml:space="preserve">        ↓</w:t>
        <w:br/>
        <w:t>6.10 Business Rules / Traceability</w:t>
        <w:br/>
        <w:t xml:space="preserve">        ↓</w:t>
        <w:br/>
        <w:t>6.11–6.21 Product / data / API / authorization / specifications</w:t>
        <w:br/>
        <w:t xml:space="preserve">        ↓</w:t>
        <w:br/>
        <w:t>6.22–6.29 Module dependency and execution packs</w:t>
        <w:br/>
        <w:t xml:space="preserve">        ↓</w:t>
        <w:br/>
        <w:t>6.30–6.32 Engineering / AI context</w:t>
        <w:br/>
        <w:t xml:space="preserve">        ↓</w:t>
        <w:br/>
        <w:t>6.33–6.36 Final closing artifacts</w:t>
        <w:br/>
        <w:t xml:space="preserve">        ↓</w:t>
        <w:br/>
        <w:t>6.37 Final Cross-Document Reconciliation</w:t>
      </w:r>
    </w:p>
    <w:p>
      <w:pPr>
        <w:spacing w:after="80"/>
      </w:pPr>
      <w:r>
        <w:t>The database chain remains:</w:t>
      </w:r>
    </w:p>
    <w:p>
      <w:pPr>
        <w:spacing w:after="80"/>
      </w:pPr>
      <w:r>
        <w:rPr>
          <w:rFonts w:ascii="Consolas" w:hAnsi="Consolas"/>
          <w:sz w:val="17"/>
        </w:rPr>
        <w:t>ERD → Database Dictionary → Database Schema → API → RBAC / Permission / RLS</w:t>
      </w:r>
      <w:r>
        <w:t>.</w:t>
      </w:r>
    </w:p>
    <w:p>
      <w:pPr>
        <w:spacing w:after="80"/>
      </w:pPr>
      <w:r>
        <w:t>W4-01E remains frozen physical design and W4-02 remains the sole current executable physical baseline.</w:t>
      </w:r>
    </w:p>
    <w:p>
      <w:pPr>
        <w:spacing w:after="80"/>
      </w:pPr>
      <w:r>
        <w:t>Wave 2 artifacts already completed before this revision remain current unless a later governing reconciliation supersedes them.</w:t>
      </w:r>
    </w:p>
    <w:p>
      <w:pPr>
        <w:pStyle w:val="Heading1"/>
      </w:pPr>
      <w:r>
        <w:t>27. NORTH STAR EXECUTION TEST</w:t>
      </w:r>
    </w:p>
    <w:p>
      <w:pPr>
        <w:spacing w:after="80"/>
      </w:pPr>
      <w:r>
        <w:t>Every future step must answer:</w:t>
      </w:r>
    </w:p>
    <w:p>
      <w:pPr>
        <w:ind w:left="360"/>
      </w:pPr>
      <w:r>
        <w:rPr>
          <w:i/>
        </w:rPr>
        <w:t>**Does this step help synchronize MAEP + Master Business Rules with the RumahAgen corpus and Development reality without losing authority, provenance, simplicity, or traceability?**</w:t>
      </w:r>
    </w:p>
    <w:p>
      <w:pPr>
        <w:spacing w:after="80"/>
      </w:pPr>
      <w:r>
        <w:t>If YES: proceed.</w:t>
      </w:r>
    </w:p>
    <w:p>
      <w:pPr>
        <w:spacing w:after="80"/>
      </w:pPr>
      <w:r>
        <w:t>If NO: do not prioritize it.</w:t>
      </w:r>
    </w:p>
    <w:p>
      <w:pPr>
        <w:spacing w:after="80"/>
      </w:pPr>
      <w:r>
        <w:t>If UNCERTAIN: perform source/evidence reconciliation first.</w:t>
      </w:r>
    </w:p>
    <w:p>
      <w:pPr>
        <w:pStyle w:val="Heading1"/>
      </w:pPr>
      <w:r>
        <w:t>28.1 W4-02A.6.1 CURRENT CLOSURE PROPAGATION</w:t>
      </w:r>
    </w:p>
    <w:p>
      <w:pPr>
        <w:spacing w:after="80"/>
      </w:pPr>
      <w:r>
        <w:t>The 19 August 2026 W4-02A.5R Source Update Revalidation is the immediate governing synchronization input for this Constitution.</w:t>
      </w:r>
    </w:p>
    <w:p>
      <w:pPr>
        <w:spacing w:after="80"/>
      </w:pPr>
      <w:r>
        <w:t>The following states are therefore current and must not be carried forward as unresolved:</w:t>
      </w:r>
    </w:p>
    <w:p>
      <w:pPr>
        <w:pStyle w:val="ListBullet"/>
      </w:pPr>
      <w:r>
        <w:rPr>
          <w:b/>
        </w:rPr>
        <w:t>MBR-COM-001–013 = CLOSED — OWNER APPROVED.</w:t>
      </w:r>
    </w:p>
    <w:p>
      <w:pPr>
        <w:pStyle w:val="ListBullet"/>
      </w:pPr>
      <w:r>
        <w:rPr>
          <w:b/>
        </w:rPr>
        <w:t>OPEN-C01 / MADCR-012 = CLOSED — GOVERNING.</w:t>
      </w:r>
    </w:p>
    <w:p>
      <w:pPr>
        <w:pStyle w:val="ListBullet"/>
      </w:pPr>
      <w:r>
        <w:rPr>
          <w:b/>
        </w:rPr>
        <w:t>MADCR-049 = APPROVED — GOVERNING — Option A.</w:t>
      </w:r>
    </w:p>
    <w:p>
      <w:pPr>
        <w:pStyle w:val="ListBullet"/>
      </w:pPr>
      <w:r>
        <w:rPr>
          <w:b/>
        </w:rPr>
        <w:t>AEP3-OD-02/03/04/05 = CLOSED / current.</w:t>
      </w:r>
    </w:p>
    <w:p>
      <w:pPr>
        <w:pStyle w:val="ListBullet"/>
      </w:pPr>
      <w:r>
        <w:rPr>
          <w:b/>
        </w:rPr>
        <w:t>AEP4-OD-08 = CLOSED — GOVERNING; no automatic provider failover.</w:t>
      </w:r>
    </w:p>
    <w:p>
      <w:pPr>
        <w:pStyle w:val="ListBullet"/>
      </w:pPr>
      <w:r>
        <w:rPr>
          <w:b/>
        </w:rPr>
        <w:t>AEP4-OD-16/17 = APPROVED / current.</w:t>
      </w:r>
    </w:p>
    <w:p>
      <w:pPr>
        <w:pStyle w:val="ListBullet"/>
      </w:pPr>
      <w:r>
        <w:rPr>
          <w:b/>
        </w:rPr>
        <w:t>MADCR-058 = CLOSED — GOVERNING; Midtrans MVP behind Provider Adapter.</w:t>
      </w:r>
    </w:p>
    <w:p>
      <w:pPr>
        <w:spacing w:after="80"/>
      </w:pPr>
      <w:r>
        <w:t>These are propagation corrections, not new architecture decisions. They do not authorize migration, runtime modification, provider deployment, or production activation.</w:t>
      </w:r>
    </w:p>
    <w:p>
      <w:pPr>
        <w:spacing w:after="80"/>
      </w:pPr>
      <w:r/>
      <w:r>
        <w:t>The refreshed corpus also confirms that the older residual wording found in Constitution v1.13 and Governance Register v1.16 for MBR-COM-001–013 is a synchronization defect, not a current decision conflict. The current Constitution therefore corrects that state.</w:t>
      </w:r>
    </w:p>
    <w:p>
      <w:pPr>
        <w:pStyle w:val="Heading1"/>
      </w:pPr>
      <w:r>
        <w:t>28.2 FULL-SOURCE CARRY-FORWARD AUDIT</w:t>
      </w:r>
    </w:p>
    <w:p>
      <w:pPr>
        <w:spacing w:after="80"/>
      </w:pPr>
      <w:r>
        <w:rPr>
          <w:b/>
        </w:rPr>
        <w:t>Audit status: PASS.</w:t>
      </w:r>
    </w:p>
    <w:p>
      <w:pPr>
        <w:spacing w:after="80"/>
      </w:pPr>
      <w:r>
        <w:t xml:space="preserve">The active predecessor was </w:t>
      </w:r>
      <w:r>
        <w:rPr>
          <w:b/>
        </w:rPr>
        <w:t>Project Constitution v1.13</w:t>
      </w:r>
      <w:r>
        <w:t>. Its complete content was enumerated and classified before this revision.</w:t>
      </w:r>
    </w:p>
    <w:p>
      <w:pPr>
        <w:pStyle w:val="Heading3"/>
      </w:pPr>
      <w:r>
        <w:t>Carry-forward classification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Classification</w:t>
            </w:r>
          </w:p>
        </w:tc>
        <w:tc>
          <w:tcPr>
            <w:tcW w:type="dxa" w:w="5040"/>
            <w:shd w:fill="D9EAF7"/>
          </w:tcPr>
          <w:p>
            <w:r>
              <w:rPr>
                <w:b/>
                <w:sz w:val="16"/>
              </w:rPr>
            </w:r>
            <w:r>
              <w:rPr>
                <w:b/>
                <w:sz w:val="16"/>
              </w:rPr>
              <w:t>Result</w:t>
            </w:r>
          </w:p>
        </w:tc>
      </w:tr>
      <w:tr>
        <w:tc>
          <w:tcPr>
            <w:tcW w:type="dxa" w:w="5040"/>
          </w:tcPr>
          <w:p>
            <w:r>
              <w:rPr>
                <w:sz w:val="16"/>
              </w:rPr>
            </w:r>
            <w:r>
              <w:rPr>
                <w:sz w:val="16"/>
              </w:rPr>
              <w:t>CARRY FORWARD</w:t>
            </w:r>
          </w:p>
        </w:tc>
        <w:tc>
          <w:tcPr>
            <w:tcW w:type="dxa" w:w="5040"/>
          </w:tcPr>
          <w:p>
            <w:r>
              <w:rPr>
                <w:sz w:val="16"/>
              </w:rPr>
            </w:r>
            <w:r>
              <w:rPr>
                <w:sz w:val="16"/>
              </w:rPr>
              <w:t>All valid v1.13 governance, authority, architecture-boundary, historical-provenance and implementation-boundary content</w:t>
            </w:r>
          </w:p>
        </w:tc>
      </w:tr>
      <w:tr>
        <w:tc>
          <w:tcPr>
            <w:tcW w:type="dxa" w:w="5040"/>
          </w:tcPr>
          <w:p>
            <w:r>
              <w:rPr>
                <w:sz w:val="16"/>
              </w:rPr>
            </w:r>
            <w:r>
              <w:rPr>
                <w:sz w:val="16"/>
              </w:rPr>
              <w:t>UPDATE</w:t>
            </w:r>
          </w:p>
        </w:tc>
        <w:tc>
          <w:tcPr>
            <w:tcW w:type="dxa" w:w="5040"/>
          </w:tcPr>
          <w:p>
            <w:r>
              <w:rPr>
                <w:sz w:val="16"/>
              </w:rPr>
            </w:r>
            <w:r>
              <w:rPr>
                <w:sz w:val="16"/>
              </w:rPr>
              <w:t>Current decision/status propagation from W4-02A.5R and verified current downstream corpus</w:t>
            </w:r>
          </w:p>
        </w:tc>
      </w:tr>
      <w:tr>
        <w:tc>
          <w:tcPr>
            <w:tcW w:type="dxa" w:w="5040"/>
          </w:tcPr>
          <w:p>
            <w:r>
              <w:rPr>
                <w:sz w:val="16"/>
              </w:rPr>
            </w:r>
            <w:r>
              <w:rPr>
                <w:sz w:val="16"/>
              </w:rPr>
              <w:t>SUPERSEDE</w:t>
            </w:r>
          </w:p>
        </w:tc>
        <w:tc>
          <w:tcPr>
            <w:tcW w:type="dxa" w:w="5040"/>
          </w:tcPr>
          <w:p>
            <w:r>
              <w:rPr>
                <w:sz w:val="16"/>
              </w:rPr>
            </w:r>
            <w:r>
              <w:rPr>
                <w:sz w:val="16"/>
              </w:rPr>
              <w:t>Stale current-state labels for MBR-COM-001–013, AEP3-OD-03, AEP4-OD-08 and MADCR-058</w:t>
            </w:r>
          </w:p>
        </w:tc>
      </w:tr>
      <w:tr>
        <w:tc>
          <w:tcPr>
            <w:tcW w:type="dxa" w:w="5040"/>
          </w:tcPr>
          <w:p>
            <w:r>
              <w:rPr>
                <w:sz w:val="16"/>
              </w:rPr>
            </w:r>
            <w:r>
              <w:rPr>
                <w:sz w:val="16"/>
              </w:rPr>
              <w:t>HISTORICAL / PROVENANCE</w:t>
            </w:r>
          </w:p>
        </w:tc>
        <w:tc>
          <w:tcPr>
            <w:tcW w:type="dxa" w:w="5040"/>
          </w:tcPr>
          <w:p>
            <w:r>
              <w:rPr>
                <w:sz w:val="16"/>
              </w:rPr>
            </w:r>
            <w:r>
              <w:rPr>
                <w:sz w:val="16"/>
              </w:rPr>
              <w:t>v1.13, v1.12 and earlier Constitution chronology where earlier state is relevant</w:t>
            </w:r>
          </w:p>
        </w:tc>
      </w:tr>
      <w:tr>
        <w:tc>
          <w:tcPr>
            <w:tcW w:type="dxa" w:w="5040"/>
          </w:tcPr>
          <w:p>
            <w:r>
              <w:rPr>
                <w:sz w:val="16"/>
              </w:rPr>
            </w:r>
            <w:r>
              <w:rPr>
                <w:sz w:val="16"/>
              </w:rPr>
              <w:t>REMOVED</w:t>
            </w:r>
          </w:p>
        </w:tc>
        <w:tc>
          <w:tcPr>
            <w:tcW w:type="dxa" w:w="5040"/>
          </w:tcPr>
          <w:p>
            <w:r>
              <w:rPr>
                <w:sz w:val="16"/>
              </w:rPr>
            </w:r>
            <w:r>
              <w:rPr>
                <w:sz w:val="16"/>
              </w:rPr>
              <w:t>None for valid predecessor content</w:t>
            </w:r>
          </w:p>
        </w:tc>
      </w:tr>
      <w:tr>
        <w:tc>
          <w:tcPr>
            <w:tcW w:type="dxa" w:w="5040"/>
          </w:tcPr>
          <w:p>
            <w:r>
              <w:rPr>
                <w:sz w:val="16"/>
              </w:rPr>
            </w:r>
            <w:r>
              <w:rPr>
                <w:sz w:val="16"/>
              </w:rPr>
              <w:t>Missing valid predecessor content</w:t>
            </w:r>
          </w:p>
        </w:tc>
        <w:tc>
          <w:tcPr>
            <w:tcW w:type="dxa" w:w="5040"/>
          </w:tcPr>
          <w:p>
            <w:r>
              <w:rPr>
                <w:sz w:val="16"/>
              </w:rPr>
            </w:r>
            <w:r>
              <w:rPr>
                <w:b/>
                <w:sz w:val="16"/>
              </w:rPr>
              <w:t>0 from v1.13</w:t>
            </w:r>
          </w:p>
        </w:tc>
      </w:tr>
      <w:tr>
        <w:tc>
          <w:tcPr>
            <w:tcW w:type="dxa" w:w="5040"/>
          </w:tcPr>
          <w:p>
            <w:r>
              <w:rPr>
                <w:sz w:val="16"/>
              </w:rPr>
            </w:r>
            <w:r>
              <w:rPr>
                <w:sz w:val="16"/>
              </w:rPr>
              <w:t>Untraced new substantive content</w:t>
            </w:r>
          </w:p>
        </w:tc>
        <w:tc>
          <w:tcPr>
            <w:tcW w:type="dxa" w:w="5040"/>
          </w:tcPr>
          <w:p>
            <w:r>
              <w:rPr>
                <w:sz w:val="16"/>
              </w:rPr>
            </w:r>
            <w:r>
              <w:rPr>
                <w:b/>
                <w:sz w:val="16"/>
              </w:rPr>
              <w:t>0</w:t>
            </w:r>
          </w:p>
        </w:tc>
      </w:tr>
      <w:tr>
        <w:tc>
          <w:tcPr>
            <w:tcW w:type="dxa" w:w="5040"/>
          </w:tcPr>
          <w:p>
            <w:r>
              <w:rPr>
                <w:sz w:val="16"/>
              </w:rPr>
            </w:r>
            <w:r>
              <w:rPr>
                <w:sz w:val="16"/>
              </w:rPr>
              <w:t>Material unresolved authority conflict</w:t>
            </w:r>
          </w:p>
        </w:tc>
        <w:tc>
          <w:tcPr>
            <w:tcW w:type="dxa" w:w="5040"/>
          </w:tcPr>
          <w:p>
            <w:r>
              <w:rPr>
                <w:sz w:val="16"/>
              </w:rPr>
            </w:r>
            <w:r>
              <w:rPr>
                <w:b/>
                <w:sz w:val="16"/>
              </w:rPr>
              <w:t>0</w:t>
            </w:r>
          </w:p>
        </w:tc>
      </w:tr>
      <w:tr>
        <w:tc>
          <w:tcPr>
            <w:tcW w:type="dxa" w:w="5040"/>
          </w:tcPr>
          <w:p>
            <w:r>
              <w:rPr>
                <w:sz w:val="16"/>
              </w:rPr>
            </w:r>
            <w:r>
              <w:rPr>
                <w:sz w:val="16"/>
              </w:rPr>
              <w:t>Owner decision required</w:t>
            </w:r>
          </w:p>
        </w:tc>
        <w:tc>
          <w:tcPr>
            <w:tcW w:type="dxa" w:w="5040"/>
          </w:tcPr>
          <w:p>
            <w:r>
              <w:rPr>
                <w:sz w:val="16"/>
              </w:rPr>
            </w:r>
            <w:r>
              <w:rPr>
                <w:b/>
                <w:sz w:val="16"/>
              </w:rPr>
              <w:t>0</w:t>
            </w:r>
          </w:p>
        </w:tc>
      </w:tr>
    </w:tbl>
    <w:p/>
    <w:p>
      <w:pPr>
        <w:pStyle w:val="Heading3"/>
      </w:pPr>
      <w:r>
        <w:t>Historical source-recovery check</w:t>
      </w:r>
    </w:p>
    <w:p>
      <w:pPr>
        <w:spacing w:after="80"/>
      </w:pPr>
      <w:r>
        <w:t>The audit also compared v1.13 against its immediate historical predecessor v1.12 because v1.13 was substantially shorter than v1.12 and therefore required provenance recovery to ensure valid unaffected Constitution content was not lost.</w:t>
      </w:r>
    </w:p>
    <w:p>
      <w:pPr>
        <w:spacing w:after="80"/>
      </w:pPr>
      <w:r>
        <w:t>The valid v1.12 sections and rules that remain applicable have been restored into v1.14 and then reconciled against the current 19 August 2026 governing corpus.</w:t>
      </w:r>
    </w:p>
    <w:p>
      <w:pPr>
        <w:spacing w:after="80"/>
      </w:pPr>
      <w:r>
        <w:t xml:space="preserve">This recovery does </w:t>
      </w:r>
      <w:r>
        <w:rPr>
          <w:b/>
        </w:rPr>
        <w:t>not</w:t>
      </w:r>
      <w:r>
        <w:t xml:space="preserve"> treat v1.12 as current authority. It is a provenance source used to restore valid Constitution content that the v1.13 condensed artifact did not carry forward.</w:t>
      </w:r>
    </w:p>
    <w:p>
      <w:pPr>
        <w:spacing w:after="80"/>
      </w:pPr>
      <w:r>
        <w:t>Therefore:</w:t>
      </w:r>
    </w:p>
    <w:p>
      <w:pPr>
        <w:ind w:left="360"/>
      </w:pPr>
      <w:r>
        <w:rPr>
          <w:i/>
        </w:rPr>
        <w:t>**v1.14 is a full current Constitution, not v1.13 plus patch.**</w:t>
      </w:r>
    </w:p>
    <w:p>
      <w:pPr>
        <w:pStyle w:val="Heading3"/>
      </w:pPr>
      <w:r>
        <w:t>Silent deletion scan</w:t>
      </w:r>
    </w:p>
    <w:p>
      <w:pPr>
        <w:spacing w:after="80"/>
      </w:pPr>
      <w:r>
        <w:t>No valid predecessor section was intentionally deleted.</w:t>
      </w:r>
    </w:p>
    <w:p>
      <w:pPr>
        <w:spacing w:after="80"/>
      </w:pPr>
      <w:r>
        <w:t>No new substantive rule, entity, subsystem, provider authority, permission authority, or physical schema is introduced by this Constitution consolidation.</w:t>
      </w:r>
    </w:p>
    <w:p>
      <w:pPr>
        <w:pStyle w:val="Heading1"/>
      </w:pPr>
      <w:r>
        <w:t>28.3 INTERNAL RECONCILIATION / STEP GATE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Gate criterion</w:t>
            </w:r>
          </w:p>
        </w:tc>
        <w:tc>
          <w:tcPr>
            <w:tcW w:type="dxa" w:w="5040"/>
            <w:shd w:fill="D9EAF7"/>
          </w:tcPr>
          <w:p>
            <w:r>
              <w:rPr>
                <w:b/>
                <w:sz w:val="16"/>
              </w:rPr>
            </w:r>
            <w:r>
              <w:rPr>
                <w:b/>
                <w:sz w:val="16"/>
              </w:rPr>
              <w:t>Result</w:t>
            </w:r>
          </w:p>
        </w:tc>
      </w:tr>
      <w:tr>
        <w:tc>
          <w:tcPr>
            <w:tcW w:type="dxa" w:w="5040"/>
          </w:tcPr>
          <w:p>
            <w:r>
              <w:rPr>
                <w:sz w:val="16"/>
              </w:rPr>
            </w:r>
            <w:r>
              <w:rPr>
                <w:sz w:val="16"/>
              </w:rPr>
              <w:t>Full predecessor content carried forward</w:t>
            </w:r>
          </w:p>
        </w:tc>
        <w:tc>
          <w:tcPr>
            <w:tcW w:type="dxa" w:w="5040"/>
          </w:tcPr>
          <w:p>
            <w:r>
              <w:rPr>
                <w:sz w:val="16"/>
              </w:rPr>
            </w:r>
            <w:r>
              <w:rPr>
                <w:sz w:val="16"/>
              </w:rPr>
              <w:t>GREEN</w:t>
            </w:r>
          </w:p>
        </w:tc>
      </w:tr>
      <w:tr>
        <w:tc>
          <w:tcPr>
            <w:tcW w:type="dxa" w:w="5040"/>
          </w:tcPr>
          <w:p>
            <w:r>
              <w:rPr>
                <w:sz w:val="16"/>
              </w:rPr>
            </w:r>
            <w:r>
              <w:rPr>
                <w:sz w:val="16"/>
              </w:rPr>
              <w:t>Valid unaffected content preserved</w:t>
            </w:r>
          </w:p>
        </w:tc>
        <w:tc>
          <w:tcPr>
            <w:tcW w:type="dxa" w:w="5040"/>
          </w:tcPr>
          <w:p>
            <w:r>
              <w:rPr>
                <w:sz w:val="16"/>
              </w:rPr>
            </w:r>
            <w:r>
              <w:rPr>
                <w:sz w:val="16"/>
              </w:rPr>
              <w:t>GREEN</w:t>
            </w:r>
          </w:p>
        </w:tc>
      </w:tr>
      <w:tr>
        <w:tc>
          <w:tcPr>
            <w:tcW w:type="dxa" w:w="5040"/>
          </w:tcPr>
          <w:p>
            <w:r>
              <w:rPr>
                <w:sz w:val="16"/>
              </w:rPr>
            </w:r>
            <w:r>
              <w:rPr>
                <w:sz w:val="16"/>
              </w:rPr>
              <w:t>Current governing closures propagated</w:t>
            </w:r>
          </w:p>
        </w:tc>
        <w:tc>
          <w:tcPr>
            <w:tcW w:type="dxa" w:w="5040"/>
          </w:tcPr>
          <w:p>
            <w:r>
              <w:rPr>
                <w:sz w:val="16"/>
              </w:rPr>
            </w:r>
            <w:r>
              <w:rPr>
                <w:sz w:val="16"/>
              </w:rPr>
              <w:t>GREEN</w:t>
            </w:r>
          </w:p>
        </w:tc>
      </w:tr>
      <w:tr>
        <w:tc>
          <w:tcPr>
            <w:tcW w:type="dxa" w:w="5040"/>
          </w:tcPr>
          <w:p>
            <w:r>
              <w:rPr>
                <w:sz w:val="16"/>
              </w:rPr>
            </w:r>
            <w:r>
              <w:rPr>
                <w:sz w:val="16"/>
              </w:rPr>
              <w:t>Historical/current boundary explicit</w:t>
            </w:r>
          </w:p>
        </w:tc>
        <w:tc>
          <w:tcPr>
            <w:tcW w:type="dxa" w:w="5040"/>
          </w:tcPr>
          <w:p>
            <w:r>
              <w:rPr>
                <w:sz w:val="16"/>
              </w:rPr>
            </w:r>
            <w:r>
              <w:rPr>
                <w:sz w:val="16"/>
              </w:rPr>
              <w:t>GREEN</w:t>
            </w:r>
          </w:p>
        </w:tc>
      </w:tr>
      <w:tr>
        <w:tc>
          <w:tcPr>
            <w:tcW w:type="dxa" w:w="5040"/>
          </w:tcPr>
          <w:p>
            <w:r>
              <w:rPr>
                <w:sz w:val="16"/>
              </w:rPr>
            </w:r>
            <w:r>
              <w:rPr>
                <w:sz w:val="16"/>
              </w:rPr>
              <w:t>No untraced substantive invention</w:t>
            </w:r>
          </w:p>
        </w:tc>
        <w:tc>
          <w:tcPr>
            <w:tcW w:type="dxa" w:w="5040"/>
          </w:tcPr>
          <w:p>
            <w:r>
              <w:rPr>
                <w:sz w:val="16"/>
              </w:rPr>
            </w:r>
            <w:r>
              <w:rPr>
                <w:sz w:val="16"/>
              </w:rPr>
              <w:t>GREEN</w:t>
            </w:r>
          </w:p>
        </w:tc>
      </w:tr>
      <w:tr>
        <w:tc>
          <w:tcPr>
            <w:tcW w:type="dxa" w:w="5040"/>
          </w:tcPr>
          <w:p>
            <w:r>
              <w:rPr>
                <w:sz w:val="16"/>
              </w:rPr>
            </w:r>
            <w:r>
              <w:rPr>
                <w:sz w:val="16"/>
              </w:rPr>
              <w:t>No unresolved Owner decision</w:t>
            </w:r>
          </w:p>
        </w:tc>
        <w:tc>
          <w:tcPr>
            <w:tcW w:type="dxa" w:w="5040"/>
          </w:tcPr>
          <w:p>
            <w:r>
              <w:rPr>
                <w:sz w:val="16"/>
              </w:rPr>
            </w:r>
            <w:r>
              <w:rPr>
                <w:sz w:val="16"/>
              </w:rPr>
              <w:t>GREEN</w:t>
            </w:r>
          </w:p>
        </w:tc>
      </w:tr>
      <w:tr>
        <w:tc>
          <w:tcPr>
            <w:tcW w:type="dxa" w:w="5040"/>
          </w:tcPr>
          <w:p>
            <w:r>
              <w:rPr>
                <w:sz w:val="16"/>
              </w:rPr>
            </w:r>
            <w:r>
              <w:rPr>
                <w:sz w:val="16"/>
              </w:rPr>
              <w:t>No material current authority conflict</w:t>
            </w:r>
          </w:p>
        </w:tc>
        <w:tc>
          <w:tcPr>
            <w:tcW w:type="dxa" w:w="5040"/>
          </w:tcPr>
          <w:p>
            <w:r>
              <w:rPr>
                <w:sz w:val="16"/>
              </w:rPr>
            </w:r>
            <w:r>
              <w:rPr>
                <w:sz w:val="16"/>
              </w:rPr>
              <w:t>GREEN</w:t>
            </w:r>
          </w:p>
        </w:tc>
      </w:tr>
      <w:tr>
        <w:tc>
          <w:tcPr>
            <w:tcW w:type="dxa" w:w="5040"/>
          </w:tcPr>
          <w:p>
            <w:r>
              <w:rPr>
                <w:sz w:val="16"/>
              </w:rPr>
            </w:r>
            <w:r>
              <w:rPr>
                <w:sz w:val="16"/>
              </w:rPr>
              <w:t>W4-01E / W4-02 physical authority preserved</w:t>
            </w:r>
          </w:p>
        </w:tc>
        <w:tc>
          <w:tcPr>
            <w:tcW w:type="dxa" w:w="5040"/>
          </w:tcPr>
          <w:p>
            <w:r>
              <w:rPr>
                <w:sz w:val="16"/>
              </w:rPr>
            </w:r>
            <w:r>
              <w:rPr>
                <w:sz w:val="16"/>
              </w:rPr>
              <w:t>GREEN</w:t>
            </w:r>
          </w:p>
        </w:tc>
      </w:tr>
      <w:tr>
        <w:tc>
          <w:tcPr>
            <w:tcW w:type="dxa" w:w="5040"/>
          </w:tcPr>
          <w:p>
            <w:r>
              <w:rPr>
                <w:sz w:val="16"/>
              </w:rPr>
            </w:r>
            <w:r>
              <w:rPr>
                <w:sz w:val="16"/>
              </w:rPr>
              <w:t>No new migration / SQL baseline created</w:t>
            </w:r>
          </w:p>
        </w:tc>
        <w:tc>
          <w:tcPr>
            <w:tcW w:type="dxa" w:w="5040"/>
          </w:tcPr>
          <w:p>
            <w:r>
              <w:rPr>
                <w:sz w:val="16"/>
              </w:rPr>
            </w:r>
            <w:r>
              <w:rPr>
                <w:sz w:val="16"/>
              </w:rPr>
              <w:t>GREEN</w:t>
            </w:r>
          </w:p>
        </w:tc>
      </w:tr>
      <w:tr>
        <w:tc>
          <w:tcPr>
            <w:tcW w:type="dxa" w:w="5040"/>
          </w:tcPr>
          <w:p>
            <w:r>
              <w:rPr>
                <w:sz w:val="16"/>
              </w:rPr>
            </w:r>
            <w:r>
              <w:rPr>
                <w:sz w:val="16"/>
              </w:rPr>
              <w:t>Cross-domain dependencies preserved</w:t>
            </w:r>
          </w:p>
        </w:tc>
        <w:tc>
          <w:tcPr>
            <w:tcW w:type="dxa" w:w="5040"/>
          </w:tcPr>
          <w:p>
            <w:r>
              <w:rPr>
                <w:sz w:val="16"/>
              </w:rPr>
            </w:r>
            <w:r>
              <w:rPr>
                <w:sz w:val="16"/>
              </w:rPr>
              <w:t>GREEN</w:t>
            </w:r>
          </w:p>
        </w:tc>
      </w:tr>
    </w:tbl>
    <w:p/>
    <w:p>
      <w:pPr>
        <w:spacing w:after="80"/>
      </w:pPr>
      <w:r>
        <w:rPr>
          <w:b/>
        </w:rPr>
        <w:t>STEP STATUS = COMPLETE / GREEN</w:t>
      </w:r>
    </w:p>
    <w:p>
      <w:pPr>
        <w:pStyle w:val="Heading1"/>
      </w:pPr>
      <w:r>
        <w:t>29. NEXT STEP</w:t>
      </w:r>
    </w:p>
    <w:p>
      <w:pPr>
        <w:ind w:left="360"/>
      </w:pPr>
      <w:r>
        <w:rPr>
          <w:i/>
        </w:rPr>
        <w:t>**NEXT STEP = W4-02A.6.2 — GOVERNANCE REGISTER FULL CONSOLIDATION**</w:t>
      </w:r>
    </w:p>
    <w:p>
      <w:pPr>
        <w:spacing w:after="80"/>
      </w:pPr>
      <w:r>
        <w:t>Execution stops at W4-02A.6.1. No work from W4-02A.6.2 or later is performed in this artifact.</w:t>
      </w:r>
    </w:p>
    <w:p>
      <w:pPr>
        <w:pStyle w:val="Heading1"/>
      </w:pPr>
      <w:r>
        <w:t>30. FINAL CANONICAL DECLARATION</w:t>
      </w:r>
    </w:p>
    <w:p>
      <w:pPr>
        <w:ind w:left="360"/>
      </w:pPr>
      <w:r>
        <w:rPr>
          <w:i/>
        </w:rPr>
      </w:r>
    </w:p>
    <w:p>
      <w:pPr>
        <w:spacing w:after="80"/>
      </w:pPr>
      <w:r/>
    </w:p>
    <w:p>
      <w:pPr>
        <w:spacing w:after="80"/>
      </w:pPr>
      <w:r>
        <w:t>It does not create a new architecture.</w:t>
      </w:r>
    </w:p>
    <w:p>
      <w:pPr>
        <w:spacing w:after="80"/>
      </w:pPr>
      <w:r>
        <w:t>It does not create a new system.</w:t>
      </w:r>
    </w:p>
    <w:p>
      <w:pPr>
        <w:spacing w:after="80"/>
      </w:pPr>
      <w:r>
        <w:t>It does not authorize physical migration.</w:t>
      </w:r>
    </w:p>
    <w:p>
      <w:pPr>
        <w:spacing w:after="80"/>
      </w:pPr>
      <w:r>
        <w:t>It does not close genuine technical residuals.</w:t>
      </w:r>
    </w:p>
    <w:p>
      <w:pPr>
        <w:spacing w:after="80"/>
      </w:pPr>
      <w:r>
        <w:t>It does close stale governance classifications that were already resolved by later approved evidence and owner decisions.</w:t>
      </w:r>
    </w:p>
    <w:p>
      <w:pPr>
        <w:pStyle w:val="Heading1"/>
      </w:pPr>
      <w:r/>
    </w:p>
    <w:p>
      <w:pPr>
        <w:pStyle w:val="Heading1"/>
      </w:pPr>
      <w:r>
        <w:t>31. STEP09-A SYNCHRONIZATION TRACEABILITY &amp; GATE</w:t>
      </w:r>
    </w:p>
    <w:p>
      <w:r>
        <w:t>Scope: Project Constitution only. Core v1.3 remains immutable.</w:t>
      </w:r>
    </w:p>
    <w:p>
      <w:r>
        <w:t>PRESERVE — Existing valid Constitution governance, authority boundaries, historical provenance, implementation-readiness boundary, and no-repeat/no-silent-rewrite controls.</w:t>
      </w:r>
    </w:p>
    <w:p>
      <w:r>
        <w:t>AUGMENT — Explicit M01–M15 module authority boundaries, M10 authorization details, M11 public discovery/public-surface boundary, and M14 Q01–Q64/Q40/Q54/Q61/Q62 boundary.</w:t>
      </w:r>
    </w:p>
    <w:p>
      <w:r>
        <w:t>RECONCILE — Current canonical artifact references updated to Governance Register v1.16, System Architecture v1.8, Dependency Manifest v1.9, Project Manifest v1.32, and Current Project State rev.15.</w:t>
      </w:r>
    </w:p>
    <w:p>
      <w:r>
        <w:t>CONTROLLED — STEP09-A does not propagate into database/API/RBAC/UI architecture design; later STEP09-B/09-C/09-D own those synchronization surfaces.</w:t>
      </w:r>
    </w:p>
    <w:p>
      <w:r>
        <w:t>NO-PROPAGATION — No Core v1.3 mutation and no Integrated Core v1.4 generation in STEP09-A.</w:t>
      </w:r>
    </w:p>
    <w:p>
      <w:r>
        <w:t>SUPERSEDED — Stale current-state labels in v1.14 that point to superseded downstream versions are corrected only in the current-state references; historical provenance is retained.</w:t>
      </w:r>
    </w:p>
    <w:p>
      <w:r>
        <w:t>Traceability chain: Constitution statement → approved upstream decision/evidence → authority → affected module → downstream STEP.</w:t>
      </w:r>
    </w:p>
    <w:p>
      <w:r>
        <w:t>Preservation result: no valid v1.14 constitutional section is intentionally removed; the residual-list duplication is normalized as an editorial correction without changing its substantive boundary.</w:t>
      </w:r>
    </w:p>
    <w:p>
      <w:r>
        <w:t>Authority audit: Constitution documents governance and boundaries; module authorities remain the semantic owners for their domains.</w:t>
      </w:r>
    </w:p>
    <w:p>
      <w:r/>
      <w:r>
        <w:t>STEP09-A GATE = PASS — FOUNDATION; controlled re-entry required and executed as STEP09-A.1 before downstream STEP09-B.</w:t>
      </w:r>
    </w:p>
    <w:p>
      <w:r/>
      <w:r>
        <w:t>NEXT = STEP09-B — System Architecture Synchronization, after final STEP09-A.1 gate closure.</w:t>
      </w:r>
    </w:p>
    <w:p>
      <w:r>
        <w:br w:type="page"/>
      </w:r>
    </w:p>
    <w:p>
      <w:pPr>
        <w:pStyle w:val="Heading1"/>
      </w:pPr>
      <w:r>
        <w:t>32. STEP09-A.1 — M01–M15 CONSTITUTIONAL COVERAGE AUGMENTATION &amp; PRESERVATION RECONCILIATION</w:t>
      </w:r>
    </w:p>
    <w:p>
      <w:r>
        <w:t>Trigger: the second deep-scan coverage matrix identified detail-level constitutional gaps that were not sufficiently represented in v1.15, while the authority model and existing Constitution remained valid. This is a controlled re-entry, not a rebuild from zero. Existing valid Constitution detail is preserved; only the identified constitutional coverage is augmented. No Core v1.3 artifact is modified and no downstream physical/runtime authorization is granted.</w:t>
      </w:r>
    </w:p>
    <w:p>
      <w:pPr>
        <w:pStyle w:val="Heading2"/>
      </w:pPr>
      <w:r>
        <w:t>32.1 Controlled re-entry principles</w:t>
      </w:r>
    </w:p>
    <w:p>
      <w:pPr>
        <w:pStyle w:val="ListBullet"/>
      </w:pPr>
      <w:r>
        <w:t>Preserve all valid v1.15 constitutional content and historical provenance.</w:t>
      </w:r>
    </w:p>
    <w:p>
      <w:pPr>
        <w:pStyle w:val="ListBullet"/>
      </w:pPr>
      <w:r>
        <w:t>Augment constitutional semantic boundaries only where the M01–M15 coverage matrix identifies a material omission or insufficient explicitness.</w:t>
      </w:r>
    </w:p>
    <w:p>
      <w:pPr>
        <w:pStyle w:val="ListBullet"/>
      </w:pPr>
      <w:r>
        <w:t>Do not transfer semantic authority from any module to the Constitution or from one module to another.</w:t>
      </w:r>
    </w:p>
    <w:p>
      <w:pPr>
        <w:pStyle w:val="ListBullet"/>
      </w:pPr>
      <w:r>
        <w:t>Do not create a new subsystem, framework, database design, API contract, RBAC/RLS model, UI/UX design, migration, or runtime implementation through this re-entry.</w:t>
      </w:r>
    </w:p>
    <w:p>
      <w:pPr>
        <w:pStyle w:val="ListBullet"/>
      </w:pPr>
      <w:r>
        <w:t>Keep semantic approval, physical implementation, and runtime proof as separate states.</w:t>
      </w:r>
    </w:p>
    <w:p>
      <w:pPr>
        <w:pStyle w:val="ListBullet"/>
      </w:pPr>
      <w:r>
        <w:t>Q01–Q64 remain M14 provenance; Q40, Q54, Q61, and Q62 remain M14 and must not be absorbed by M15.</w:t>
      </w:r>
    </w:p>
    <w:p>
      <w:pPr>
        <w:pStyle w:val="Heading2"/>
      </w:pPr>
      <w:r>
        <w:t>32.2 M01–M15 constitutional coverage augmentation</w:t>
      </w:r>
    </w:p>
    <w:p>
      <w:r>
        <w:rPr>
          <w:b/>
        </w:rPr>
        <w:t>M01 — Identity / Conditional KTP</w:t>
      </w:r>
    </w:p>
    <w:p>
      <w:r>
        <w:t>M01 remains the identity semantic authority. Conditional KTP and deferred completion are constitutional lifecycle constraints: incomplete KTP completion may remain deferred where the approved flow permits it, without transferring identity authority away from M01. Activation and Pending Review are distinct states and must not be conflated.</w:t>
      </w:r>
    </w:p>
    <w:p>
      <w:r>
        <w:rPr>
          <w:b/>
        </w:rPr>
        <w:t>M02 — Profile / Public Visibility</w:t>
      </w:r>
    </w:p>
    <w:p>
      <w:r>
        <w:t>M02 remains the semantic authority for profile/public visibility behavior. Visibility is distinct from authorization. Administrative override semantics and Public CTA opt-in are preserved as explicit M02 constraints; visibility semantics must not be interpreted as permission grants or as an implicit public exposure rule.</w:t>
      </w:r>
    </w:p>
    <w:p>
      <w:r>
        <w:rPr>
          <w:b/>
        </w:rPr>
        <w:t>M03 — Listing / Refresh</w:t>
      </w:r>
    </w:p>
    <w:p>
      <w:r>
        <w:t>M03 remains the action authority for Listing and Refresh. Refresh quota, default allowance, reset behavior, and failure-consumption semantics remain M03-controlled action rules. M14 commercial allowance may enable or fund an entitlement/allowance, but does not replace M03 action authority or redefine the Refresh operation.</w:t>
      </w:r>
    </w:p>
    <w:p>
      <w:r>
        <w:rPr>
          <w:b/>
        </w:rPr>
        <w:t>M04 — Learning / Session / Qualification Boundary</w:t>
      </w:r>
    </w:p>
    <w:p>
      <w:r>
        <w:t>M04 remains the Learning semantic authority, including Learning Economy and Learning Points (LP). The Learning Session permission family remains within the M04 boundary. Qualification/evidence handling must not redefine, absorb, or transfer Learning authority from M04 to M15.</w:t>
      </w:r>
    </w:p>
    <w:p>
      <w:r>
        <w:rPr>
          <w:b/>
        </w:rPr>
        <w:t>M05 — Event / Calendar / Registration</w:t>
      </w:r>
    </w:p>
    <w:p>
      <w:r>
        <w:t>M05 remains the semantic authority for Event, Calendar, and Registration concerns. Event, Calendar, and Registration are related but distinct semantic concepts and must not be collapsed into a single authority label. A dedicated M05 Core Delta/Impact extraction and reconciliation is mandatory when M05-specific semantic additions/corrections are not already represented by an established dedicated package. This requirement is a governance/extraction gate, not authorization to create a new subsystem.</w:t>
      </w:r>
    </w:p>
    <w:p>
      <w:r>
        <w:rPr>
          <w:b/>
        </w:rPr>
        <w:t>M06 — Developer / Project / Marketing Kit / Claim</w:t>
      </w:r>
    </w:p>
    <w:p>
      <w:r>
        <w:t>M06 remains the semantic authority for Developer, Developer Project, Marketing Kit, Project Media, Claim, and Approval Claim. Developer Project must remain compatible as a source field for Listing M03. Project Media is distinct from Marketing Kit. Marketing Kit retains its capability, lifecycle, and permission semantics. Claim and Approval Claim lifecycle remain M06-controlled. Developer profile semantics include company logo and the free-text “Tentang Developer” field.</w:t>
      </w:r>
    </w:p>
    <w:p>
      <w:r>
        <w:rPr>
          <w:b/>
        </w:rPr>
        <w:t>M07 — DBR / Configuration</w:t>
      </w:r>
    </w:p>
    <w:p>
      <w:r>
        <w:t>M07 remains the semantic authority for its DBR/configuration domain. Configuration semantics must not be redefined by downstream database/API/physical artifacts. Downstream dependencies may consume M07 meaning, but cannot silently replace M07 semantic authority.</w:t>
      </w:r>
    </w:p>
    <w:p>
      <w:r>
        <w:rPr>
          <w:b/>
        </w:rPr>
        <w:t>M08 — Dashboard Projection / Notification State</w:t>
      </w:r>
    </w:p>
    <w:p>
      <w:r>
        <w:t>M08 is the projection/communication layer for Dashboard Projection and Notification State. These are the active M08 capability boundaries. M08 is not business-mutation authority and must not gain unrelated permissions, capabilities, or scope through downstream synchronization.</w:t>
      </w:r>
    </w:p>
    <w:p>
      <w:r>
        <w:rPr>
          <w:b/>
        </w:rPr>
        <w:t>M09 — Administration / Configuration / Audit / Export</w:t>
      </w:r>
    </w:p>
    <w:p>
      <w:r>
        <w:t>M09 remains the administration authority for System Configuration, Audit Log, and Administrative Export. Administrative authority wording must distinguish Admin, Manager, and Superadmin according to the approved authorization model; role naming must not silently expand or collapse capability boundaries. M09 administration does not supersede M10 authorization authority.</w:t>
      </w:r>
    </w:p>
    <w:p>
      <w:r>
        <w:rPr>
          <w:b/>
        </w:rPr>
        <w:t>M10 — Authorization</w:t>
      </w:r>
    </w:p>
    <w:p>
      <w:r>
        <w:t>M10 is already constitutionally strong and remains the authorization authority for Role, Role Permission, Permission Preset, Capability, Scope, Condition, Ownership, Organization, and RLS boundaries. Permission Preset is not a Role and cannot create capabilities outside the established role baseline. No material new constitutional delta is introduced here.</w:t>
      </w:r>
    </w:p>
    <w:p>
      <w:r>
        <w:rPr>
          <w:b/>
        </w:rPr>
        <w:t>M11 — Public Discovery / SEO / Measurement</w:t>
      </w:r>
    </w:p>
    <w:p>
      <w:r>
        <w:t>M11 remains the discovery/SEO/measurement authority for the approved public surfaces: Homepage, Listing, Agent, Organization, Developer/Project, Event, Static Public Content, and Announcement/Promotion. Static Public Content and Announcement/Promotion are part of the public discovery surface, not optional traceability. Their administrative lifecycle/configuration remains owned by M09 or the applicable authoritative domain; M11 does not take over that administrative ownership.</w:t>
      </w:r>
    </w:p>
    <w:p>
      <w:r>
        <w:rPr>
          <w:b/>
        </w:rPr>
        <w:t>M12 — Organization / Membership / Lead Exit</w:t>
      </w:r>
    </w:p>
    <w:p>
      <w:r>
        <w:t>M12 remains the Organization/Membership authority. Membership lifecycle and dependencies to M03, M10, M11, and M14 remain explicit. Lead Exit is CLOSED under the approved governance state. No Lead Transfer or successor-inheritance behavior is introduced through this synchronization.</w:t>
      </w:r>
    </w:p>
    <w:p>
      <w:r>
        <w:rPr>
          <w:b/>
        </w:rPr>
        <w:t>M13 — Provider Catalogue / BYOK</w:t>
      </w:r>
    </w:p>
    <w:p>
      <w:r>
        <w:t>M13 remains the Provider Catalogue/provider-configuration semantic authority. BYOK and provider configuration remain bounded by the approved governance model and cannot bypass M10 authorization. Provider Catalogue mutation authority and any Superadmin-only governance constraints remain explicit where locked. Provider configuration does not create an independent authorization system.</w:t>
      </w:r>
    </w:p>
    <w:p>
      <w:r>
        <w:rPr>
          <w:b/>
        </w:rPr>
        <w:t>M14 — Commercial Semantic Family / Q Provenance</w:t>
      </w:r>
    </w:p>
    <w:p>
      <w:r>
        <w:t>M14 remains the commercial authority for Subscription, Add-on, Promotion, Order, Checkout, Payment, Entitlement, Quota, and reconciliation semantics. Commercial allowance does not replace M03 action authority. Q01–Q64 are M14 questions/provenance, and Q40, Q54, Q61, and Q62 remain M14. Payment success is not by itself an RBAC permission grant.</w:t>
      </w:r>
    </w:p>
    <w:p>
      <w:r>
        <w:rPr>
          <w:b/>
        </w:rPr>
        <w:t>M15 — Qualification / Evidence / Awarding Boundary</w:t>
      </w:r>
    </w:p>
    <w:p>
      <w:r>
        <w:t>M15 remains the semantic authority for qualification, evidence, title/credential, and awarding. M15 must not redefine M04 Learning authority or absorb M14 commercial authority. M15 MUST NOT absorb Q01–Q64, including Q40, Q54, Q61, and Q62.</w:t>
      </w:r>
    </w:p>
    <w:p>
      <w:pPr>
        <w:pStyle w:val="Heading2"/>
      </w:pPr>
      <w:r>
        <w:t>32.3 Constitutional coverage matrix — v1.16 closure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v1.15</w:t>
            </w:r>
          </w:p>
        </w:tc>
        <w:tc>
          <w:tcPr>
            <w:tcW w:type="dxa" w:w="2520"/>
          </w:tcPr>
          <w:p>
            <w:r>
              <w:t>v1.16 action</w:t>
            </w:r>
          </w:p>
        </w:tc>
        <w:tc>
          <w:tcPr>
            <w:tcW w:type="dxa" w:w="2520"/>
          </w:tcPr>
          <w:p>
            <w:r>
              <w:t>Status</w:t>
            </w:r>
          </w:p>
        </w:tc>
      </w:tr>
      <w:tr>
        <w:tc>
          <w:tcPr>
            <w:tcW w:type="dxa" w:w="2520"/>
          </w:tcPr>
          <w:p>
            <w:r>
              <w:t>M01</w:t>
            </w:r>
          </w:p>
        </w:tc>
        <w:tc>
          <w:tcPr>
            <w:tcW w:type="dxa" w:w="2520"/>
          </w:tcPr>
          <w:p>
            <w:r>
              <w:t>Partial</w:t>
            </w:r>
          </w:p>
        </w:tc>
        <w:tc>
          <w:tcPr>
            <w:tcW w:type="dxa" w:w="2520"/>
          </w:tcPr>
          <w:p>
            <w:r>
              <w:t>Conditional KTP/deferred completion; activation vs Pending Review</w:t>
            </w:r>
          </w:p>
        </w:tc>
        <w:tc>
          <w:tcPr>
            <w:tcW w:type="dxa" w:w="2520"/>
          </w:tcPr>
          <w:p>
            <w:r>
              <w:t>CLOSED</w:t>
            </w:r>
          </w:p>
        </w:tc>
      </w:tr>
      <w:tr>
        <w:tc>
          <w:tcPr>
            <w:tcW w:type="dxa" w:w="2520"/>
          </w:tcPr>
          <w:p>
            <w:r>
              <w:t>M02</w:t>
            </w:r>
          </w:p>
        </w:tc>
        <w:tc>
          <w:tcPr>
            <w:tcW w:type="dxa" w:w="2520"/>
          </w:tcPr>
          <w:p>
            <w:r>
              <w:t>Partial</w:t>
            </w:r>
          </w:p>
        </w:tc>
        <w:tc>
          <w:tcPr>
            <w:tcW w:type="dxa" w:w="2520"/>
          </w:tcPr>
          <w:p>
            <w:r>
              <w:t>Administrative override; Public CTA; visibility semantics</w:t>
            </w:r>
          </w:p>
        </w:tc>
        <w:tc>
          <w:tcPr>
            <w:tcW w:type="dxa" w:w="2520"/>
          </w:tcPr>
          <w:p>
            <w:r>
              <w:t>CLOSED</w:t>
            </w:r>
          </w:p>
        </w:tc>
      </w:tr>
      <w:tr>
        <w:tc>
          <w:tcPr>
            <w:tcW w:type="dxa" w:w="2520"/>
          </w:tcPr>
          <w:p>
            <w:r>
              <w:t>M03</w:t>
            </w:r>
          </w:p>
        </w:tc>
        <w:tc>
          <w:tcPr>
            <w:tcW w:type="dxa" w:w="2520"/>
          </w:tcPr>
          <w:p>
            <w:r>
              <w:t>Partial</w:t>
            </w:r>
          </w:p>
        </w:tc>
        <w:tc>
          <w:tcPr>
            <w:tcW w:type="dxa" w:w="2520"/>
          </w:tcPr>
          <w:p>
            <w:r>
              <w:t>Refresh quota/default/reset/failure-consumption; M14 boundary</w:t>
            </w:r>
          </w:p>
        </w:tc>
        <w:tc>
          <w:tcPr>
            <w:tcW w:type="dxa" w:w="2520"/>
          </w:tcPr>
          <w:p>
            <w:r>
              <w:t>CLOSED</w:t>
            </w:r>
          </w:p>
        </w:tc>
      </w:tr>
      <w:tr>
        <w:tc>
          <w:tcPr>
            <w:tcW w:type="dxa" w:w="2520"/>
          </w:tcPr>
          <w:p>
            <w:r>
              <w:t>M04</w:t>
            </w:r>
          </w:p>
        </w:tc>
        <w:tc>
          <w:tcPr>
            <w:tcW w:type="dxa" w:w="2520"/>
          </w:tcPr>
          <w:p>
            <w:r>
              <w:t>Partial</w:t>
            </w:r>
          </w:p>
        </w:tc>
        <w:tc>
          <w:tcPr>
            <w:tcW w:type="dxa" w:w="2520"/>
          </w:tcPr>
          <w:p>
            <w:r>
              <w:t>Session permission family; Learning vs qualification evidence</w:t>
            </w:r>
          </w:p>
        </w:tc>
        <w:tc>
          <w:tcPr>
            <w:tcW w:type="dxa" w:w="2520"/>
          </w:tcPr>
          <w:p>
            <w:r>
              <w:t>CLOSED</w:t>
            </w:r>
          </w:p>
        </w:tc>
      </w:tr>
      <w:tr>
        <w:tc>
          <w:tcPr>
            <w:tcW w:type="dxa" w:w="2520"/>
          </w:tcPr>
          <w:p>
            <w:r>
              <w:t>M05</w:t>
            </w:r>
          </w:p>
        </w:tc>
        <w:tc>
          <w:tcPr>
            <w:tcW w:type="dxa" w:w="2520"/>
          </w:tcPr>
          <w:p>
            <w:r>
              <w:t>Gap</w:t>
            </w:r>
          </w:p>
        </w:tc>
        <w:tc>
          <w:tcPr>
            <w:tcW w:type="dxa" w:w="2520"/>
          </w:tcPr>
          <w:p>
            <w:r>
              <w:t>Event/Calendar/Registration + dedicated Delta/Impact gate</w:t>
            </w:r>
          </w:p>
        </w:tc>
        <w:tc>
          <w:tcPr>
            <w:tcW w:type="dxa" w:w="2520"/>
          </w:tcPr>
          <w:p>
            <w:r>
              <w:t>CLOSED</w:t>
            </w:r>
          </w:p>
        </w:tc>
      </w:tr>
      <w:tr>
        <w:tc>
          <w:tcPr>
            <w:tcW w:type="dxa" w:w="2520"/>
          </w:tcPr>
          <w:p>
            <w:r>
              <w:t>M06</w:t>
            </w:r>
          </w:p>
        </w:tc>
        <w:tc>
          <w:tcPr>
            <w:tcW w:type="dxa" w:w="2520"/>
          </w:tcPr>
          <w:p>
            <w:r>
              <w:t>Gap</w:t>
            </w:r>
          </w:p>
        </w:tc>
        <w:tc>
          <w:tcPr>
            <w:tcW w:type="dxa" w:w="2520"/>
          </w:tcPr>
          <w:p>
            <w:r>
              <w:t>Developer Project; Marketing Kit; Claim; Project Media; logo; Tentang Developer; Listing compatibility</w:t>
            </w:r>
          </w:p>
        </w:tc>
        <w:tc>
          <w:tcPr>
            <w:tcW w:type="dxa" w:w="2520"/>
          </w:tcPr>
          <w:p>
            <w:r>
              <w:t>CLOSED</w:t>
            </w:r>
          </w:p>
        </w:tc>
      </w:tr>
      <w:tr>
        <w:tc>
          <w:tcPr>
            <w:tcW w:type="dxa" w:w="2520"/>
          </w:tcPr>
          <w:p>
            <w:r>
              <w:t>M07</w:t>
            </w:r>
          </w:p>
        </w:tc>
        <w:tc>
          <w:tcPr>
            <w:tcW w:type="dxa" w:w="2520"/>
          </w:tcPr>
          <w:p>
            <w:r>
              <w:t>Partial</w:t>
            </w:r>
          </w:p>
        </w:tc>
        <w:tc>
          <w:tcPr>
            <w:tcW w:type="dxa" w:w="2520"/>
          </w:tcPr>
          <w:p>
            <w:r>
              <w:t>DBR/configuration authority and downstream boundary</w:t>
            </w:r>
          </w:p>
        </w:tc>
        <w:tc>
          <w:tcPr>
            <w:tcW w:type="dxa" w:w="2520"/>
          </w:tcPr>
          <w:p>
            <w:r>
              <w:t>CLOSED</w:t>
            </w:r>
          </w:p>
        </w:tc>
      </w:tr>
      <w:tr>
        <w:tc>
          <w:tcPr>
            <w:tcW w:type="dxa" w:w="2520"/>
          </w:tcPr>
          <w:p>
            <w:r>
              <w:t>M08</w:t>
            </w:r>
          </w:p>
        </w:tc>
        <w:tc>
          <w:tcPr>
            <w:tcW w:type="dxa" w:w="2520"/>
          </w:tcPr>
          <w:p>
            <w:r>
              <w:t>Gap</w:t>
            </w:r>
          </w:p>
        </w:tc>
        <w:tc>
          <w:tcPr>
            <w:tcW w:type="dxa" w:w="2520"/>
          </w:tcPr>
          <w:p>
            <w:r>
              <w:t>Dashboard Projection + Notification State; non-mutation boundary</w:t>
            </w:r>
          </w:p>
        </w:tc>
        <w:tc>
          <w:tcPr>
            <w:tcW w:type="dxa" w:w="2520"/>
          </w:tcPr>
          <w:p>
            <w:r>
              <w:t>CLOSED</w:t>
            </w:r>
          </w:p>
        </w:tc>
      </w:tr>
      <w:tr>
        <w:tc>
          <w:tcPr>
            <w:tcW w:type="dxa" w:w="2520"/>
          </w:tcPr>
          <w:p>
            <w:r>
              <w:t>M09</w:t>
            </w:r>
          </w:p>
        </w:tc>
        <w:tc>
          <w:tcPr>
            <w:tcW w:type="dxa" w:w="2520"/>
          </w:tcPr>
          <w:p>
            <w:r>
              <w:t>Partial</w:t>
            </w:r>
          </w:p>
        </w:tc>
        <w:tc>
          <w:tcPr>
            <w:tcW w:type="dxa" w:w="2520"/>
          </w:tcPr>
          <w:p>
            <w:r>
              <w:t>System Configuration; Audit Log; Administrative Export; role wording</w:t>
            </w:r>
          </w:p>
        </w:tc>
        <w:tc>
          <w:tcPr>
            <w:tcW w:type="dxa" w:w="2520"/>
          </w:tcPr>
          <w:p>
            <w:r>
              <w:t>CLOSED</w:t>
            </w:r>
          </w:p>
        </w:tc>
      </w:tr>
      <w:tr>
        <w:tc>
          <w:tcPr>
            <w:tcW w:type="dxa" w:w="2520"/>
          </w:tcPr>
          <w:p>
            <w:r>
              <w:t>M10</w:t>
            </w:r>
          </w:p>
        </w:tc>
        <w:tc>
          <w:tcPr>
            <w:tcW w:type="dxa" w:w="2520"/>
          </w:tcPr>
          <w:p>
            <w:r>
              <w:t>Strong</w:t>
            </w:r>
          </w:p>
        </w:tc>
        <w:tc>
          <w:tcPr>
            <w:tcW w:type="dxa" w:w="2520"/>
          </w:tcPr>
          <w:p>
            <w:r>
              <w:t>Preserved; no major delta</w:t>
            </w:r>
          </w:p>
        </w:tc>
        <w:tc>
          <w:tcPr>
            <w:tcW w:type="dxa" w:w="2520"/>
          </w:tcPr>
          <w:p>
            <w:r>
              <w:t>PASS</w:t>
            </w:r>
          </w:p>
        </w:tc>
      </w:tr>
      <w:tr>
        <w:tc>
          <w:tcPr>
            <w:tcW w:type="dxa" w:w="2520"/>
          </w:tcPr>
          <w:p>
            <w:r>
              <w:t>M11</w:t>
            </w:r>
          </w:p>
        </w:tc>
        <w:tc>
          <w:tcPr>
            <w:tcW w:type="dxa" w:w="2520"/>
          </w:tcPr>
          <w:p>
            <w:r>
              <w:t>Partial</w:t>
            </w:r>
          </w:p>
        </w:tc>
        <w:tc>
          <w:tcPr>
            <w:tcW w:type="dxa" w:w="2520"/>
          </w:tcPr>
          <w:p>
            <w:r>
              <w:t>Complete public-surface inventory + lifecycle ownership boundary</w:t>
            </w:r>
          </w:p>
        </w:tc>
        <w:tc>
          <w:tcPr>
            <w:tcW w:type="dxa" w:w="2520"/>
          </w:tcPr>
          <w:p>
            <w:r>
              <w:t>CLOSED</w:t>
            </w:r>
          </w:p>
        </w:tc>
      </w:tr>
      <w:tr>
        <w:tc>
          <w:tcPr>
            <w:tcW w:type="dxa" w:w="2520"/>
          </w:tcPr>
          <w:p>
            <w:r>
              <w:t>M12</w:t>
            </w:r>
          </w:p>
        </w:tc>
        <w:tc>
          <w:tcPr>
            <w:tcW w:type="dxa" w:w="2520"/>
          </w:tcPr>
          <w:p>
            <w:r>
              <w:t>Partial</w:t>
            </w:r>
          </w:p>
        </w:tc>
        <w:tc>
          <w:tcPr>
            <w:tcW w:type="dxa" w:w="2520"/>
          </w:tcPr>
          <w:p>
            <w:r>
              <w:t>Membership lifecycle; dependencies; Lead Exit; no successor inheritance</w:t>
            </w:r>
          </w:p>
        </w:tc>
        <w:tc>
          <w:tcPr>
            <w:tcW w:type="dxa" w:w="2520"/>
          </w:tcPr>
          <w:p>
            <w:r>
              <w:t>CLOSED</w:t>
            </w:r>
          </w:p>
        </w:tc>
      </w:tr>
      <w:tr>
        <w:tc>
          <w:tcPr>
            <w:tcW w:type="dxa" w:w="2520"/>
          </w:tcPr>
          <w:p>
            <w:r>
              <w:t>M13</w:t>
            </w:r>
          </w:p>
        </w:tc>
        <w:tc>
          <w:tcPr>
            <w:tcW w:type="dxa" w:w="2520"/>
          </w:tcPr>
          <w:p>
            <w:r>
              <w:t>Partial</w:t>
            </w:r>
          </w:p>
        </w:tc>
        <w:tc>
          <w:tcPr>
            <w:tcW w:type="dxa" w:w="2520"/>
          </w:tcPr>
          <w:p>
            <w:r>
              <w:t>Provider Catalogue; BYOK; mutation/Superadmin governance; M10 boundary</w:t>
            </w:r>
          </w:p>
        </w:tc>
        <w:tc>
          <w:tcPr>
            <w:tcW w:type="dxa" w:w="2520"/>
          </w:tcPr>
          <w:p>
            <w:r>
              <w:t>CLOSED</w:t>
            </w:r>
          </w:p>
        </w:tc>
      </w:tr>
      <w:tr>
        <w:tc>
          <w:tcPr>
            <w:tcW w:type="dxa" w:w="2520"/>
          </w:tcPr>
          <w:p>
            <w:r>
              <w:t>M14</w:t>
            </w:r>
          </w:p>
        </w:tc>
        <w:tc>
          <w:tcPr>
            <w:tcW w:type="dxa" w:w="2520"/>
          </w:tcPr>
          <w:p>
            <w:r>
              <w:t>Partial</w:t>
            </w:r>
          </w:p>
        </w:tc>
        <w:tc>
          <w:tcPr>
            <w:tcW w:type="dxa" w:w="2520"/>
          </w:tcPr>
          <w:p>
            <w:r>
              <w:t>Full commercial family + Q01–Q64/Q40/Q54/Q61/Q62 provenance</w:t>
            </w:r>
          </w:p>
        </w:tc>
        <w:tc>
          <w:tcPr>
            <w:tcW w:type="dxa" w:w="2520"/>
          </w:tcPr>
          <w:p>
            <w:r>
              <w:t>CLOSED</w:t>
            </w:r>
          </w:p>
        </w:tc>
      </w:tr>
      <w:tr>
        <w:tc>
          <w:tcPr>
            <w:tcW w:type="dxa" w:w="2520"/>
          </w:tcPr>
          <w:p>
            <w:r>
              <w:t>M15</w:t>
            </w:r>
          </w:p>
        </w:tc>
        <w:tc>
          <w:tcPr>
            <w:tcW w:type="dxa" w:w="2520"/>
          </w:tcPr>
          <w:p>
            <w:r>
              <w:t>Partial</w:t>
            </w:r>
          </w:p>
        </w:tc>
        <w:tc>
          <w:tcPr>
            <w:tcW w:type="dxa" w:w="2520"/>
          </w:tcPr>
          <w:p>
            <w:r>
              <w:t>Explicit separation from M04/M14; no Q absorption</w:t>
            </w:r>
          </w:p>
        </w:tc>
        <w:tc>
          <w:tcPr>
            <w:tcW w:type="dxa" w:w="2520"/>
          </w:tcPr>
          <w:p>
            <w:r>
              <w:t>CLOSED</w:t>
            </w:r>
          </w:p>
        </w:tc>
      </w:tr>
    </w:tbl>
    <w:p>
      <w:pPr>
        <w:pStyle w:val="Heading2"/>
      </w:pPr>
      <w:r>
        <w:t>32.4 Final preservation and non-propagation gate</w:t>
      </w:r>
    </w:p>
    <w:p>
      <w:pPr>
        <w:pStyle w:val="ListBullet"/>
      </w:pPr>
      <w:r>
        <w:t>PRESERVE = PASS — Existing valid v1.15 constitutional content remains intact.</w:t>
      </w:r>
    </w:p>
    <w:p>
      <w:pPr>
        <w:pStyle w:val="ListBullet"/>
      </w:pPr>
      <w:r>
        <w:t>AUGMENT = PASS — All 14 identified module-specific detail gaps plus the M10 preservation check are represented above.</w:t>
      </w:r>
    </w:p>
    <w:p>
      <w:pPr>
        <w:pStyle w:val="ListBullet"/>
      </w:pPr>
      <w:r>
        <w:t>AUTHORITY = PASS — No module authority is transferred or redefined.</w:t>
      </w:r>
    </w:p>
    <w:p>
      <w:pPr>
        <w:pStyle w:val="ListBullet"/>
      </w:pPr>
      <w:r>
        <w:t>Q PROVENANCE = PASS — Q01–Q64, Q40, Q54, Q61, and Q62 remain M14.</w:t>
      </w:r>
    </w:p>
    <w:p>
      <w:pPr>
        <w:pStyle w:val="ListBullet"/>
      </w:pPr>
      <w:r>
        <w:t>M11 PUBLIC SURFACE = PASS — Static Public Content and Announcement/Promotion are explicitly included without taking administrative ownership from their authoritative domains.</w:t>
      </w:r>
    </w:p>
    <w:p>
      <w:pPr>
        <w:pStyle w:val="ListBullet"/>
      </w:pPr>
      <w:r>
        <w:t>NO-NEW-SUBSYSTEM = PASS — M05 Delta/Impact is an extraction/reconciliation gate only.</w:t>
      </w:r>
    </w:p>
    <w:p>
      <w:pPr>
        <w:pStyle w:val="ListBullet"/>
      </w:pPr>
      <w:r>
        <w:t>NO-PHYSICAL-AUTHORIZATION = PASS — No DB, API, RBAC/RLS, migration, runtime, or production authorization is granted.</w:t>
      </w:r>
    </w:p>
    <w:p>
      <w:pPr>
        <w:pStyle w:val="ListBullet"/>
      </w:pPr>
      <w:r>
        <w:t>CORE IMMUTABILITY = PASS — Core v1.3 remains immutable; no Integrated Core v1.4 is generated.</w:t>
      </w:r>
    </w:p>
    <w:p>
      <w:pPr>
        <w:pStyle w:val="ListBullet"/>
      </w:pPr>
      <w:r>
        <w:t>RE-ENTRY RESULT = COMPLETE — STEP09-A.1 closes the identified constitutional coverage augmentation scope.</w:t>
      </w:r>
    </w:p>
    <w:p>
      <w:r>
        <w:t>STEP09-A.1 FINAL GATE = PASS — Constitution v1.16 is the current canonical constitutional artifact for the STEP09-A scope, with the identified M01–M15 semantic coverage augmented and preserved. Downstream work may proceed to STEP09-B under the existing gated execution order.</w:t>
      </w:r>
    </w:p>
    <w:p>
      <w:r>
        <w:br w:type="page"/>
      </w:r>
    </w:p>
    <w:p>
      <w:pPr>
        <w:pStyle w:val="Heading1"/>
      </w:pPr>
      <w:r>
        <w:t>33. STEP09-A.2 — CONSTITUTIONAL FINAL RECONCILIATION</w:t>
      </w:r>
    </w:p>
    <w:p>
      <w:r>
        <w:t>Trigger: final deep-scan reconciliation of Constitution v1.16 against the PRE-00 M01–M15 integration controls and the already-approved STEP07/STEP07-A/STEP08 synchronization baseline. This is a controlled augmentation/reconciliation of v1.16. No valid v1.16 content is deleted or replaced, no new subsystem is introduced, and no physical/runtime implementation is authorized.</w:t>
      </w:r>
    </w:p>
    <w:p>
      <w:pPr>
        <w:pStyle w:val="Heading2"/>
      </w:pPr>
      <w:r>
        <w:t>33.1 M03 — Listing / Refresh constitutional hardening</w:t>
      </w:r>
    </w:p>
    <w:p>
      <w:r>
        <w:t>M03 remains the semantic and action authority for Listing and Refresh. In addition to quota/default/reset/failure-consumption controls, Listing/Refresh behavior must preserve the approved geographic/local positioning semantics, server-authoritative ordering, and successful Refresh boundary. A failed Refresh must follow the approved failure-consumption rule and must not be silently treated as a successful positioning event. Commercial allowance supplied by M14 remains an entitlement/allowance input and does not replace M03 action authority.</w:t>
      </w:r>
    </w:p>
    <w:p>
      <w:pPr>
        <w:pStyle w:val="Heading2"/>
      </w:pPr>
      <w:r>
        <w:t>33.2 M04 → M15 — governed learning-evidence propagation</w:t>
      </w:r>
    </w:p>
    <w:p>
      <w:r>
        <w:t>M04 remains the Learning authority. Partner Learning and Developer Learning remain within their authoritative learning lifecycle/ownership boundaries. Where approved, their governed completion/qualification evidence may propagate to M15 as qualification evidence. M15 consumes governed evidence for qualification/evaluation/awarding and does not acquire ownership of Partner Learning or Developer Learning lifecycle, nor redefine M04 Learning authority.</w:t>
      </w:r>
    </w:p>
    <w:p>
      <w:pPr>
        <w:pStyle w:val="Heading2"/>
      </w:pPr>
      <w:r>
        <w:t>33.3 M14 — Q provenance reconciliation</w:t>
      </w:r>
    </w:p>
    <w:p>
      <w:r>
        <w:t>Q01–Q64 remain explicitly protected as M14 provenance, including Q40, Q54, Q61, and Q62; none may be attributed to M15. The current M14 lineage also contains a Q01–Q66 preservation reference. This Constitution does not invent or silently reassign Q65–Q66. Their applicability/assignment must follow the current authoritative M14 register/lineage. Until that authoritative register resolves the difference, Q65–Q66 are a controlled provenance reconciliation residual and are not evidence for M15 authority.</w:t>
      </w:r>
    </w:p>
    <w:p>
      <w:pPr>
        <w:pStyle w:val="Heading2"/>
      </w:pPr>
      <w:r>
        <w:t>33.4 M05 Delta/Impact governance clarification</w:t>
      </w:r>
    </w:p>
    <w:p>
      <w:r>
        <w:t>The dedicated M05 Core Delta/Impact requirement is an integration evidence and reconciliation gate. It does not create a new subsystem, authority, framework, or runtime component. M05 readiness remains blocked until the required dedicated impact evidence is complete, consistent with PRE-00.</w:t>
      </w:r>
    </w:p>
    <w:p>
      <w:pPr>
        <w:pStyle w:val="Heading2"/>
      </w:pPr>
      <w:r>
        <w:t>33.5 Current-canonical metadata integrity</w:t>
      </w:r>
    </w:p>
    <w:p>
      <w:r>
        <w:t>Current-state artifact references in this Constitution are authoritative only as document-version pointers and must remain synchronized with the current controlled corpus. Historical versions remain provenance and must not be presented as current. Filename alone does not establish formal authority. The current canonical set referenced by this Constitution is: Project Constitution v1.17; System Architecture v1.8; Technical Decisions v1.6; Current Project State rev.15; Project Manifest v1.32; Governance Register v1.16.</w:t>
      </w:r>
    </w:p>
    <w:p>
      <w:pPr>
        <w:pStyle w:val="Heading2"/>
      </w:pPr>
      <w:r>
        <w:t>33.6 STEP09-A.2 final preservation gate</w:t>
      </w:r>
    </w:p>
    <w:p>
      <w:pPr>
        <w:pStyle w:val="ListBullet"/>
      </w:pPr>
      <w:r>
        <w:t>PRESERVE = PASS — all valid v1.16 constitutional content is retained.</w:t>
      </w:r>
    </w:p>
    <w:p>
      <w:pPr>
        <w:pStyle w:val="ListBullet"/>
      </w:pPr>
      <w:r>
        <w:t>M03 DETAIL = PASS — geographic/local positioning, server-authoritative ordering, successful Refresh boundary, and failure behavior are explicitly protected.</w:t>
      </w:r>
    </w:p>
    <w:p>
      <w:pPr>
        <w:pStyle w:val="ListBullet"/>
      </w:pPr>
      <w:r>
        <w:t>LEARNING EVIDENCE = PASS — Partner/Developer Learning evidence propagation to M15 is governed without authority transfer.</w:t>
      </w:r>
    </w:p>
    <w:p>
      <w:pPr>
        <w:pStyle w:val="ListBullet"/>
      </w:pPr>
      <w:r>
        <w:t>M14 Q PROVENANCE = CONTROLLED — Q01–Q64 and Q40/Q54/Q61/Q62 remain M14; Q65–Q66 are not reassigned by this Constitution and remain a controlled reconciliation residual pending the authoritative M14 register.</w:t>
      </w:r>
    </w:p>
    <w:p>
      <w:pPr>
        <w:pStyle w:val="ListBullet"/>
      </w:pPr>
      <w:r>
        <w:t>M05 GATE = PASS — Delta/Impact remains an evidence/reconciliation gate, not a new subsystem.</w:t>
      </w:r>
    </w:p>
    <w:p>
      <w:pPr>
        <w:pStyle w:val="ListBullet"/>
      </w:pPr>
      <w:r>
        <w:t>CURRENT REFERENCES = PASS — stale current-state pointers have been reconciled.</w:t>
      </w:r>
    </w:p>
    <w:p>
      <w:pPr>
        <w:pStyle w:val="ListBullet"/>
      </w:pPr>
      <w:r>
        <w:t>NO AUTHORITY INVERSION = PASS.</w:t>
      </w:r>
    </w:p>
    <w:p>
      <w:pPr>
        <w:pStyle w:val="ListBullet"/>
      </w:pPr>
      <w:r>
        <w:t>NO SILENT DELETION/REPLACEMENT = PASS.</w:t>
      </w:r>
    </w:p>
    <w:p>
      <w:pPr>
        <w:pStyle w:val="ListBullet"/>
      </w:pPr>
      <w:r>
        <w:t>CORE v1.3 IMMUTABILITY = PASS.</w:t>
      </w:r>
    </w:p>
    <w:p>
      <w:pPr>
        <w:pStyle w:val="ListBullet"/>
      </w:pPr>
      <w:r>
        <w:t>NO PHYSICAL/RUNTIME AUTHORIZATION = PASS.</w:t>
      </w:r>
    </w:p>
    <w:p>
      <w:r>
        <w:t>STEP09-A.2 RESULT = PASS WITH CONTROLLED PROVENANCE RESIDUAL. The Constitution is semantically complete for the identified M01–M15 constitutional scope. The Q65–Q66 discrepancy remains explicitly tracked as provenance reconciliation and is not silently resolved by this document.</w:t>
      </w:r>
    </w:p>
    <w:p>
      <w:pPr>
        <w:pStyle w:val="Heading2"/>
      </w:pPr>
      <w:r>
        <w:t>33.6 Controlled Current-Canonical Metadata Correction</w:t>
      </w:r>
    </w:p>
    <w:p>
      <w:r>
        <w:t>The current-canonical artifact metadata is corrected in this full-version reconciliation so that current references point to Project Constitution v1.17, System Architecture v1.8, Project Manifest v1.32, Current Project State rev.15, and Governance Register v1.16. This correction is limited to current-state/canonical metadata and does not rewrite, erase, or reclassify historical provenance references. All inherited v1.16 content and the previous v1.17 reconciliation content remain preserved.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RumahAgen | W4-02A.6.1 | Project Constitution v1.14 | FULL CONSOLIDATED | CARRY-FORWARD AUDIT PASS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