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rPr>
        <w:t>RUMAHAGEN — TECHNICAL DECISIONS</w:t>
      </w:r>
    </w:p>
    <w:p>
      <w:pPr>
        <w:spacing w:after="80"/>
        <w:jc w:val="center"/>
      </w:pPr>
      <w:r>
        <w:rPr>
          <w:b/>
          <w:i w:val="0"/>
        </w:rPr>
        <w:t>W4-02A.6.6 — TECHNICAL DECISIONS FULL CONSOLIDATION</w:t>
      </w:r>
    </w:p>
    <w:p>
      <w:pPr>
        <w:spacing w:after="80"/>
        <w:jc w:val="center"/>
      </w:pPr>
      <w:r>
        <w:t>v1.6 — CURRENT CANONICAL CONSOLIDATED | STEP09-C SYNCHRONIZATION REVISION</w:t>
      </w:r>
    </w:p>
    <w:p>
      <w:pPr>
        <w:spacing w:after="80"/>
        <w:jc w:val="center"/>
      </w:pPr>
      <w:r>
        <w:t>03 September 2026 | STEP09-C TECHNICAL DECISIONS SYNCHRONIZATION — FULL VERSION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Current state</w:t>
            </w:r>
          </w:p>
        </w:tc>
      </w:tr>
      <w:tr>
        <w:tc>
          <w:tcPr>
            <w:tcW w:type="dxa" w:w="5040"/>
          </w:tcPr>
          <w:p>
            <w:r>
              <w:t>Formal document version</w:t>
            </w:r>
          </w:p>
        </w:tc>
        <w:tc>
          <w:tcPr>
            <w:tcW w:type="dxa" w:w="5040"/>
          </w:tcPr>
          <w:p>
            <w:r>
              <w:t>v1.6 retained</w:t>
            </w:r>
          </w:p>
        </w:tc>
      </w:tr>
      <w:tr>
        <w:tc>
          <w:tcPr>
            <w:tcW w:type="dxa" w:w="5040"/>
          </w:tcPr>
          <w:p>
            <w:r>
              <w:t>Synchronization revision</w:t>
            </w:r>
          </w:p>
        </w:tc>
        <w:tc>
          <w:tcPr>
            <w:tcW w:type="dxa" w:w="5040"/>
          </w:tcPr>
          <w:p>
            <w:r>
              <w:t>W4-02A.6.6</w:t>
            </w:r>
          </w:p>
        </w:tc>
      </w:tr>
      <w:tr>
        <w:tc>
          <w:tcPr>
            <w:tcW w:type="dxa" w:w="5040"/>
          </w:tcPr>
          <w:p>
            <w:r>
              <w:t>Predecessor</w:t>
            </w:r>
          </w:p>
        </w:tc>
        <w:tc>
          <w:tcPr>
            <w:tcW w:type="dxa" w:w="5040"/>
          </w:tcPr>
          <w:p>
            <w:r>
              <w:t>RUMAHAGEN_TECHNICAL-DECISIONS_v1.6_CURRENT_CANONICAL_CONSOLIDATED</w:t>
            </w:r>
          </w:p>
        </w:tc>
      </w:tr>
      <w:tr>
        <w:tc>
          <w:tcPr>
            <w:tcW w:type="dxa" w:w="5040"/>
          </w:tcPr>
          <w:p>
            <w:r>
              <w:t>Role</w:t>
            </w:r>
          </w:p>
        </w:tc>
        <w:tc>
          <w:tcPr>
            <w:tcW w:type="dxa" w:w="5040"/>
          </w:tcPr>
          <w:p>
            <w:r>
              <w:t>Technology-consequence baseline downstream of semantic governance and architecture</w:t>
            </w:r>
          </w:p>
        </w:tc>
      </w:tr>
      <w:tr>
        <w:tc>
          <w:tcPr>
            <w:tcW w:type="dxa" w:w="5040"/>
          </w:tcPr>
          <w:p>
            <w:r>
              <w:t>Status</w:t>
            </w:r>
          </w:p>
        </w:tc>
        <w:tc>
          <w:tcPr>
            <w:tcW w:type="dxa" w:w="5040"/>
          </w:tcPr>
          <w:p>
            <w:r>
              <w:t>CURRENT CANONICAL — GOVERNING</w:t>
            </w:r>
          </w:p>
        </w:tc>
      </w:tr>
      <w:tr>
        <w:tc>
          <w:tcPr>
            <w:tcW w:type="dxa" w:w="5040"/>
          </w:tcPr>
          <w:p>
            <w:r>
              <w:t>Repository promotion</w:t>
            </w:r>
          </w:p>
        </w:tc>
        <w:tc>
          <w:tcPr>
            <w:tcW w:type="dxa" w:w="5040"/>
          </w:tcPr>
          <w:p>
            <w:r>
              <w:t>NOT PERFORMED by this document</w:t>
            </w:r>
          </w:p>
        </w:tc>
      </w:tr>
      <w:tr>
        <w:tc>
          <w:tcPr>
            <w:tcW w:type="dxa" w:w="5040"/>
          </w:tcPr>
          <w:p>
            <w:r>
              <w:t>Implementation authorization</w:t>
            </w:r>
          </w:p>
        </w:tc>
        <w:tc>
          <w:tcPr>
            <w:tcW w:type="dxa" w:w="5040"/>
          </w:tcPr>
          <w:p>
            <w:r>
              <w:t>NOT GRANTED</w:t>
            </w:r>
          </w:p>
        </w:tc>
      </w:tr>
      <w:tr>
        <w:tc>
          <w:tcPr>
            <w:tcW w:type="dxa" w:w="5040"/>
          </w:tcPr>
          <w:p>
            <w:r>
              <w:t>Runtime / production authorization</w:t>
            </w:r>
          </w:p>
        </w:tc>
        <w:tc>
          <w:tcPr>
            <w:tcW w:type="dxa" w:w="5040"/>
          </w:tcPr>
          <w:p>
            <w:r>
              <w:t>NOT GRANTED</w:t>
            </w:r>
          </w:p>
        </w:tc>
      </w:tr>
      <w:tr>
        <w:tc>
          <w:tcPr>
            <w:tcW w:type="dxa" w:w="5040"/>
          </w:tcPr>
          <w:p>
            <w:r>
              <w:t>Historical versions</w:t>
            </w:r>
          </w:p>
        </w:tc>
        <w:tc>
          <w:tcPr>
            <w:tcW w:type="dxa" w:w="5040"/>
          </w:tcPr>
          <w:p>
            <w:r>
              <w:t>Preserved as provenance</w:t>
            </w:r>
          </w:p>
        </w:tc>
      </w:tr>
    </w:tbl>
    <w:p>
      <w:pPr>
        <w:spacing w:after="80"/>
      </w:pPr>
      <w:r>
        <w:t>This artifact is a NEW FULL CURRENT SOURCE FILE for STEP09-C synchronization. It is not a patch or addendum. Valid Technical Decisions v1.6 predecessor/current content is carried forward; approved architectural consequences from System Architecture v1.9 and current governing constraints are synchronized; historical/provenance content is preserved. Formal Technical Decisions version v1.6 is retained because the existing current baseline explicitly retained v1.6; STEP09-C is recorded as the synchronization revision.</w:t>
      </w:r>
    </w:p>
    <w:p>
      <w:pPr>
        <w:pStyle w:val="Heading1"/>
      </w:pPr>
      <w:r>
        <w:t>1. PURPOSE</w:t>
      </w:r>
    </w:p>
    <w:p>
      <w:pPr>
        <w:spacing w:after="80"/>
      </w:pPr>
      <w:r>
        <w:t>This artifact synchronizes the existing Technical Decisions baseline with the current Project Constitution v1.17, Governance Register v1.16, Decision Log v1.0, Changelog v1.0, current System Architecture v1.9, approved MADCR/ADR/closed OD, Master Business Rules BR-001–BR-151, AEP/MAEP consequences, refreshed-source closure evidence and current downstream technical evidence.</w:t>
      </w:r>
    </w:p>
    <w:p>
      <w:pPr>
        <w:spacing w:after="80"/>
      </w:pPr>
      <w:r>
        <w:rPr>
          <w:b w:val="0"/>
          <w:i w:val="0"/>
        </w:rPr>
        <w:t>It is not a new technology-selection exercise. It does not authorize physical implementation, migration execution, provider deployment, API implementation, RLS mutation, permission-ID creation, Bolt implementation or production activation.</w:t>
      </w:r>
    </w:p>
    <w:p>
      <w:pPr>
        <w:pStyle w:val="Heading1"/>
      </w:pPr>
      <w:r>
        <w:t>2. AUTHORITY CHAIN</w:t>
      </w:r>
    </w:p>
    <w:p>
      <w:pPr>
        <w:ind w:left="259"/>
      </w:pPr>
      <w:r>
        <w:t>Explicit Owner-approved decisions</w:t>
        <w:br/>
        <w:t xml:space="preserve">        ↓</w:t>
        <w:br/>
        <w:t>Normative Master Business Rules BR-001…BR-151</w:t>
        <w:br/>
        <w:t xml:space="preserve">        ↓</w:t>
        <w:br/>
        <w:t>Approved MADCR / ADR / closed OD</w:t>
        <w:br/>
        <w:t xml:space="preserve">        ↓</w:t>
        <w:br/>
        <w:t>Project Constitution v1.17 / Governance Register v1.16</w:t>
        <w:br/>
        <w:t xml:space="preserve">        ↓</w:t>
        <w:br/>
        <w:t>System Architecture v1.9</w:t>
        <w:br/>
        <w:t xml:space="preserve">        ↓</w:t>
        <w:br/>
        <w:t>Technical Decisions v1.6 — STEP09-C synchronized current state</w:t>
        <w:br/>
        <w:t xml:space="preserve">        ↓</w:t>
        <w:br/>
        <w:t>ERD / Database Dictionary / Database Schema / API / RBAC</w:t>
        <w:br/>
        <w:t xml:space="preserve">        ↓</w:t>
        <w:br/>
        <w:t>W4-01E frozen physical design</w:t>
        <w:br/>
        <w:t xml:space="preserve">        ↓</w:t>
        <w:br/>
        <w:t>W4-02 sole executable physical baseline</w:t>
        <w:br/>
        <w:t xml:space="preserve">        ↓</w:t>
        <w:br/>
        <w:t>W4-03 runtime verification</w:t>
      </w:r>
    </w:p>
    <w:p>
      <w:pPr>
        <w:spacing w:after="80"/>
      </w:pPr>
      <w:r>
        <w:rPr>
          <w:b w:val="0"/>
          <w:i w:val="0"/>
        </w:rPr>
        <w:t>Technical Decisions records technology consequences. It does not override approved semantic authority and does not claim physical implementation without evidence.</w:t>
      </w:r>
    </w:p>
    <w:p>
      <w:pPr>
        <w:pStyle w:val="Heading1"/>
      </w:pPr>
      <w:r>
        <w:t>3. CANONICAL CONSOLIDATION / NO-REPEAT RULE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Source</w:t>
            </w:r>
          </w:p>
        </w:tc>
        <w:tc>
          <w:tcPr>
            <w:tcW w:type="dxa" w:w="5040"/>
            <w:shd w:fill="D9EAF7"/>
          </w:tcPr>
          <w:p>
            <w:r>
              <w:t>Treatment</w:t>
            </w:r>
          </w:p>
        </w:tc>
      </w:tr>
      <w:tr>
        <w:tc>
          <w:tcPr>
            <w:tcW w:type="dxa" w:w="5040"/>
          </w:tcPr>
          <w:p>
            <w:r>
              <w:t>Legacy technology-decisions-v1.6-FINAL.md</w:t>
            </w:r>
          </w:p>
        </w:tc>
        <w:tc>
          <w:tcPr>
            <w:tcW w:type="dxa" w:w="5040"/>
          </w:tcPr>
          <w:p>
            <w:r>
              <w:t>Historical baseline; valid technology decisions retained unless superseded</w:t>
            </w:r>
          </w:p>
        </w:tc>
      </w:tr>
      <w:tr>
        <w:tc>
          <w:tcPr>
            <w:tcW w:type="dxa" w:w="5040"/>
          </w:tcPr>
          <w:p>
            <w:r>
              <w:t>P08-B.3 Step 2 Controlled Revision Candidate</w:t>
            </w:r>
          </w:p>
        </w:tc>
        <w:tc>
          <w:tcPr>
            <w:tcW w:type="dxa" w:w="5040"/>
          </w:tcPr>
          <w:p>
            <w:r>
              <w:t>Historical/revision lineage absorbed</w:t>
            </w:r>
          </w:p>
        </w:tc>
      </w:tr>
      <w:tr>
        <w:tc>
          <w:tcPr>
            <w:tcW w:type="dxa" w:w="5040"/>
          </w:tcPr>
          <w:p>
            <w:r>
              <w:t>P08-B.3 Step 2 Correction Addendum</w:t>
            </w:r>
          </w:p>
        </w:tc>
        <w:tc>
          <w:tcPr>
            <w:tcW w:type="dxa" w:w="5040"/>
          </w:tcPr>
          <w:p>
            <w:r>
              <w:t>Historical/revision lineage absorbed</w:t>
            </w:r>
          </w:p>
        </w:tc>
      </w:tr>
      <w:tr>
        <w:tc>
          <w:tcPr>
            <w:tcW w:type="dxa" w:w="5040"/>
          </w:tcPr>
          <w:p>
            <w:r>
              <w:t>Technical Decisions v1.6 Current Canonical Consolidated</w:t>
            </w:r>
          </w:p>
        </w:tc>
        <w:tc>
          <w:tcPr>
            <w:tcW w:type="dxa" w:w="5040"/>
          </w:tcPr>
          <w:p>
            <w:r>
              <w:t>Immediate predecessor; all valid content carried forward</w:t>
            </w:r>
          </w:p>
        </w:tc>
      </w:tr>
      <w:tr>
        <w:tc>
          <w:tcPr>
            <w:tcW w:type="dxa" w:w="5040"/>
          </w:tcPr>
          <w:p>
            <w:r>
              <w:t>Decision Closure Sync R1</w:t>
            </w:r>
          </w:p>
        </w:tc>
        <w:tc>
          <w:tcPr>
            <w:tcW w:type="dxa" w:w="5040"/>
          </w:tcPr>
          <w:p>
            <w:r>
              <w:t>Current closure evidence absorbed</w:t>
            </w:r>
          </w:p>
        </w:tc>
      </w:tr>
      <w:tr>
        <w:tc>
          <w:tcPr>
            <w:tcW w:type="dxa" w:w="5040"/>
          </w:tcPr>
          <w:p>
            <w:r>
              <w:t>Project Constitution v1.17</w:t>
            </w:r>
          </w:p>
        </w:tc>
        <w:tc>
          <w:tcPr>
            <w:tcW w:type="dxa" w:w="5040"/>
          </w:tcPr>
          <w:p>
            <w:r>
              <w:t>Current governance/architecture constraint</w:t>
            </w:r>
          </w:p>
        </w:tc>
      </w:tr>
      <w:tr>
        <w:tc>
          <w:tcPr>
            <w:tcW w:type="dxa" w:w="5040"/>
          </w:tcPr>
          <w:p>
            <w:r>
              <w:t>Governance Register v1.16</w:t>
            </w:r>
          </w:p>
        </w:tc>
        <w:tc>
          <w:tcPr>
            <w:tcW w:type="dxa" w:w="5040"/>
          </w:tcPr>
          <w:p>
            <w:r>
              <w:t>Current source-of-truth / lifecycle metadata</w:t>
            </w:r>
          </w:p>
        </w:tc>
      </w:tr>
      <w:tr>
        <w:tc>
          <w:tcPr>
            <w:tcW w:type="dxa" w:w="5040"/>
          </w:tcPr>
          <w:p>
            <w:r>
              <w:t>Decision Log v1.0</w:t>
            </w:r>
          </w:p>
        </w:tc>
        <w:tc>
          <w:tcPr>
            <w:tcW w:type="dxa" w:w="5040"/>
          </w:tcPr>
          <w:p>
            <w:r>
              <w:t>Current decision chronology</w:t>
            </w:r>
          </w:p>
        </w:tc>
      </w:tr>
      <w:tr>
        <w:tc>
          <w:tcPr>
            <w:tcW w:type="dxa" w:w="5040"/>
          </w:tcPr>
          <w:p>
            <w:r>
              <w:t>Changelog v1.0</w:t>
            </w:r>
          </w:p>
        </w:tc>
        <w:tc>
          <w:tcPr>
            <w:tcW w:type="dxa" w:w="5040"/>
          </w:tcPr>
          <w:p>
            <w:r>
              <w:t>Current change chronology</w:t>
            </w:r>
          </w:p>
        </w:tc>
      </w:tr>
      <w:tr>
        <w:tc>
          <w:tcPr>
            <w:tcW w:type="dxa" w:w="5040"/>
          </w:tcPr>
          <w:p>
            <w:r>
              <w:t>System Architecture v1.9</w:t>
            </w:r>
          </w:p>
        </w:tc>
        <w:tc>
          <w:tcPr>
            <w:tcW w:type="dxa" w:w="5040"/>
          </w:tcPr>
          <w:p>
            <w:r>
              <w:t>Current semantic/system architecture</w:t>
            </w:r>
          </w:p>
        </w:tc>
      </w:tr>
      <w:tr>
        <w:tc>
          <w:tcPr>
            <w:tcW w:type="dxa" w:w="5040"/>
          </w:tcPr>
          <w:p>
            <w:r>
              <w:t>MAEP / Cross-AEP</w:t>
            </w:r>
          </w:p>
        </w:tc>
        <w:tc>
          <w:tcPr>
            <w:tcW w:type="dxa" w:w="5040"/>
          </w:tcPr>
          <w:p>
            <w:r>
              <w:t>Technology consequences only; no new AEP created</w:t>
            </w:r>
          </w:p>
        </w:tc>
      </w:tr>
      <w:tr>
        <w:tc>
          <w:tcPr>
            <w:tcW w:type="dxa" w:w="5040"/>
          </w:tcPr>
          <w:p>
            <w:r>
              <w:t>Master BR-001–BR-151</w:t>
            </w:r>
          </w:p>
        </w:tc>
        <w:tc>
          <w:tcPr>
            <w:tcW w:type="dxa" w:w="5040"/>
          </w:tcPr>
          <w:p>
            <w:r>
              <w:t>Technology obligations consumed; BR catalogue remains normative</w:t>
            </w:r>
          </w:p>
        </w:tc>
      </w:tr>
      <w:tr>
        <w:tc>
          <w:tcPr>
            <w:tcW w:type="dxa" w:w="5040"/>
          </w:tcPr>
          <w:p>
            <w:r>
              <w:t>W4-01E / W4-02</w:t>
            </w:r>
          </w:p>
        </w:tc>
        <w:tc>
          <w:tcPr>
            <w:tcW w:type="dxa" w:w="5040"/>
          </w:tcPr>
          <w:p>
            <w:r>
              <w:t>Physical authority boundaries; no physical modification</w:t>
            </w:r>
          </w:p>
        </w:tc>
      </w:tr>
    </w:tbl>
    <w:p>
      <w:pPr>
        <w:pStyle w:val="ListBullet"/>
        <w:spacing w:after="40"/>
      </w:pPr>
      <w:r>
        <w:t>Do not recreate P08-A/P08-B frameworks, a second Technical Decisions register, a new technology matrix, or a new AEP.</w:t>
      </w:r>
    </w:p>
    <w:p>
      <w:pPr>
        <w:pStyle w:val="ListBullet"/>
        <w:spacing w:after="40"/>
      </w:pPr>
      <w:r>
        <w:t>Historical candidate/addendum files remain provenance and do not compete with this current artifact.</w:t>
      </w:r>
    </w:p>
    <w:p>
      <w:pPr>
        <w:pStyle w:val="ListBullet"/>
        <w:spacing w:after="40"/>
      </w:pPr>
      <w:r>
        <w:t>No technology dependency is promoted merely because it appears in an older candidate or is convenient for implementation.</w:t>
      </w:r>
    </w:p>
    <w:p>
      <w:pPr>
        <w:pStyle w:val="Heading1"/>
      </w:pPr>
      <w:r>
        <w:t>4. CORE TECHNOLOGY STACK — NO UNAPPROVED CORE CHANGE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Layer</w:t>
            </w:r>
          </w:p>
        </w:tc>
        <w:tc>
          <w:tcPr>
            <w:tcW w:type="dxa" w:w="5040"/>
            <w:shd w:fill="D9EAF7"/>
          </w:tcPr>
          <w:p>
            <w:r>
              <w:t>Current canonical treatment</w:t>
            </w:r>
          </w:p>
        </w:tc>
      </w:tr>
      <w:tr>
        <w:tc>
          <w:tcPr>
            <w:tcW w:type="dxa" w:w="5040"/>
          </w:tcPr>
          <w:p>
            <w:r>
              <w:t>Frontend</w:t>
            </w:r>
          </w:p>
        </w:tc>
        <w:tc>
          <w:tcPr>
            <w:tcW w:type="dxa" w:w="5040"/>
          </w:tcPr>
          <w:p>
            <w:r>
              <w:t>Next.js App Router</w:t>
            </w:r>
          </w:p>
        </w:tc>
      </w:tr>
      <w:tr>
        <w:tc>
          <w:tcPr>
            <w:tcW w:type="dxa" w:w="5040"/>
          </w:tcPr>
          <w:p>
            <w:r>
              <w:t>Language</w:t>
            </w:r>
          </w:p>
        </w:tc>
        <w:tc>
          <w:tcPr>
            <w:tcW w:type="dxa" w:w="5040"/>
          </w:tcPr>
          <w:p>
            <w:r>
              <w:t>TypeScript</w:t>
            </w:r>
          </w:p>
        </w:tc>
      </w:tr>
      <w:tr>
        <w:tc>
          <w:tcPr>
            <w:tcW w:type="dxa" w:w="5040"/>
          </w:tcPr>
          <w:p>
            <w:r>
              <w:t>UI</w:t>
            </w:r>
          </w:p>
        </w:tc>
        <w:tc>
          <w:tcPr>
            <w:tcW w:type="dxa" w:w="5040"/>
          </w:tcPr>
          <w:p>
            <w:r>
              <w:t>shadcn/ui</w:t>
            </w:r>
          </w:p>
        </w:tc>
      </w:tr>
      <w:tr>
        <w:tc>
          <w:tcPr>
            <w:tcW w:type="dxa" w:w="5040"/>
          </w:tcPr>
          <w:p>
            <w:r>
              <w:t>CSS</w:t>
            </w:r>
          </w:p>
        </w:tc>
        <w:tc>
          <w:tcPr>
            <w:tcW w:type="dxa" w:w="5040"/>
          </w:tcPr>
          <w:p>
            <w:r>
              <w:t>Tailwind CSS</w:t>
            </w:r>
          </w:p>
        </w:tc>
      </w:tr>
      <w:tr>
        <w:tc>
          <w:tcPr>
            <w:tcW w:type="dxa" w:w="5040"/>
          </w:tcPr>
          <w:p>
            <w:r>
              <w:t>Backend/API</w:t>
            </w:r>
          </w:p>
        </w:tc>
        <w:tc>
          <w:tcPr>
            <w:tcW w:type="dxa" w:w="5040"/>
          </w:tcPr>
          <w:p>
            <w:r>
              <w:t>Next.js Route Handlers / thin BFF + Supabase; no separate Node.js backend service</w:t>
            </w:r>
          </w:p>
        </w:tc>
      </w:tr>
      <w:tr>
        <w:tc>
          <w:tcPr>
            <w:tcW w:type="dxa" w:w="5040"/>
          </w:tcPr>
          <w:p>
            <w:r>
              <w:t>Database</w:t>
            </w:r>
          </w:p>
        </w:tc>
        <w:tc>
          <w:tcPr>
            <w:tcW w:type="dxa" w:w="5040"/>
          </w:tcPr>
          <w:p>
            <w:r>
              <w:t>PostgreSQL / Supabase</w:t>
            </w:r>
          </w:p>
        </w:tc>
      </w:tr>
      <w:tr>
        <w:tc>
          <w:tcPr>
            <w:tcW w:type="dxa" w:w="5040"/>
          </w:tcPr>
          <w:p>
            <w:r>
              <w:t>Authentication</w:t>
            </w:r>
          </w:p>
        </w:tc>
        <w:tc>
          <w:tcPr>
            <w:tcW w:type="dxa" w:w="5040"/>
          </w:tcPr>
          <w:p>
            <w:r>
              <w:t>Supabase Auth</w:t>
            </w:r>
          </w:p>
        </w:tc>
      </w:tr>
      <w:tr>
        <w:tc>
          <w:tcPr>
            <w:tcW w:type="dxa" w:w="5040"/>
          </w:tcPr>
          <w:p>
            <w:r>
              <w:t>Authorization</w:t>
            </w:r>
          </w:p>
        </w:tc>
        <w:tc>
          <w:tcPr>
            <w:tcW w:type="dxa" w:w="5040"/>
          </w:tcPr>
          <w:p>
            <w:r>
              <w:t>Application RBAC + Supabase RLS</w:t>
            </w:r>
          </w:p>
        </w:tc>
      </w:tr>
      <w:tr>
        <w:tc>
          <w:tcPr>
            <w:tcW w:type="dxa" w:w="5040"/>
          </w:tcPr>
          <w:p>
            <w:r>
              <w:t>Storage</w:t>
            </w:r>
          </w:p>
        </w:tc>
        <w:tc>
          <w:tcPr>
            <w:tcW w:type="dxa" w:w="5040"/>
          </w:tcPr>
          <w:p>
            <w:r>
              <w:t>Supabase Storage</w:t>
            </w:r>
          </w:p>
        </w:tc>
      </w:tr>
      <w:tr>
        <w:tc>
          <w:tcPr>
            <w:tcW w:type="dxa" w:w="5040"/>
          </w:tcPr>
          <w:p>
            <w:r>
              <w:t>Hosting</w:t>
            </w:r>
          </w:p>
        </w:tc>
        <w:tc>
          <w:tcPr>
            <w:tcW w:type="dxa" w:w="5040"/>
          </w:tcPr>
          <w:p>
            <w:r>
              <w:t>Vercel</w:t>
            </w:r>
          </w:p>
        </w:tc>
      </w:tr>
      <w:tr>
        <w:tc>
          <w:tcPr>
            <w:tcW w:type="dxa" w:w="5040"/>
          </w:tcPr>
          <w:p>
            <w:r>
              <w:t>Repository</w:t>
            </w:r>
          </w:p>
        </w:tc>
        <w:tc>
          <w:tcPr>
            <w:tcW w:type="dxa" w:w="5040"/>
          </w:tcPr>
          <w:p>
            <w:r>
              <w:t>GitHub</w:t>
            </w:r>
          </w:p>
        </w:tc>
      </w:tr>
      <w:tr>
        <w:tc>
          <w:tcPr>
            <w:tcW w:type="dxa" w:w="5040"/>
          </w:tcPr>
          <w:p>
            <w:r>
              <w:t>Search</w:t>
            </w:r>
          </w:p>
        </w:tc>
        <w:tc>
          <w:tcPr>
            <w:tcW w:type="dxa" w:w="5040"/>
          </w:tcPr>
          <w:p>
            <w:r>
              <w:t>PostgreSQL FTS + pg_trgm</w:t>
            </w:r>
          </w:p>
        </w:tc>
      </w:tr>
      <w:tr>
        <w:tc>
          <w:tcPr>
            <w:tcW w:type="dxa" w:w="5040"/>
          </w:tcPr>
          <w:p>
            <w:r>
              <w:t>Scheduler</w:t>
            </w:r>
          </w:p>
        </w:tc>
        <w:tc>
          <w:tcPr>
            <w:tcW w:type="dxa" w:w="5040"/>
          </w:tcPr>
          <w:p>
            <w:r>
              <w:t>Vercel Cron + Postgres Trigger / Database Webhook</w:t>
            </w:r>
          </w:p>
        </w:tc>
      </w:tr>
      <w:tr>
        <w:tc>
          <w:tcPr>
            <w:tcW w:type="dxa" w:w="5040"/>
          </w:tcPr>
          <w:p>
            <w:r>
              <w:t>Rate limiting / application cache</w:t>
            </w:r>
          </w:p>
        </w:tc>
        <w:tc>
          <w:tcPr>
            <w:tcW w:type="dxa" w:w="5040"/>
          </w:tcPr>
          <w:p>
            <w:r>
              <w:t>Supabase Postgres rate_limit_log</w:t>
            </w:r>
          </w:p>
        </w:tc>
      </w:tr>
      <w:tr>
        <w:tc>
          <w:tcPr>
            <w:tcW w:type="dxa" w:w="5040"/>
          </w:tcPr>
          <w:p>
            <w:r>
              <w:t>Maps</w:t>
            </w:r>
          </w:p>
        </w:tc>
        <w:tc>
          <w:tcPr>
            <w:tcW w:type="dxa" w:w="5040"/>
          </w:tcPr>
          <w:p>
            <w:r>
              <w:t>Leaflet + OSM + LocationIQ/Geoapify through abstraction</w:t>
            </w:r>
          </w:p>
        </w:tc>
      </w:tr>
      <w:tr>
        <w:tc>
          <w:tcPr>
            <w:tcW w:type="dxa" w:w="5040"/>
          </w:tcPr>
          <w:p>
            <w:r>
              <w:t>AI assistant provider strategy</w:t>
            </w:r>
          </w:p>
        </w:tc>
        <w:tc>
          <w:tcPr>
            <w:tcW w:type="dxa" w:w="5040"/>
          </w:tcPr>
          <w:p>
            <w:r>
              <w:t>Existing approved curated/BYOK set</w:t>
            </w:r>
          </w:p>
        </w:tc>
      </w:tr>
      <w:tr>
        <w:tc>
          <w:tcPr>
            <w:tcW w:type="dxa" w:w="5040"/>
          </w:tcPr>
          <w:p>
            <w:r>
              <w:t>Testing</w:t>
            </w:r>
          </w:p>
        </w:tc>
        <w:tc>
          <w:tcPr>
            <w:tcW w:type="dxa" w:w="5040"/>
          </w:tcPr>
          <w:p>
            <w:r>
              <w:t>Vitest + React Testing Library + Playwright</w:t>
            </w:r>
          </w:p>
        </w:tc>
      </w:tr>
    </w:tbl>
    <w:p>
      <w:pPr>
        <w:spacing w:after="80"/>
      </w:pPr>
      <w:r>
        <w:rPr>
          <w:b w:val="0"/>
          <w:i w:val="0"/>
        </w:rPr>
        <w:t>No new backend service, database engine, cache vendor, queue worker, session vendor, AI platform or other core platform is introduced by this synchronization.</w:t>
      </w:r>
    </w:p>
    <w:p>
      <w:pPr>
        <w:pStyle w:val="Heading1"/>
      </w:pPr>
      <w:r>
        <w:t>5. EXISTING APPROVED ADRs — PRESERVED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ADR</w:t>
            </w:r>
          </w:p>
        </w:tc>
        <w:tc>
          <w:tcPr>
            <w:tcW w:type="dxa" w:w="5040"/>
            <w:shd w:fill="D9EAF7"/>
          </w:tcPr>
          <w:p>
            <w:r>
              <w:t>Current technology consequence</w:t>
            </w:r>
          </w:p>
        </w:tc>
      </w:tr>
      <w:tr>
        <w:tc>
          <w:tcPr>
            <w:tcW w:type="dxa" w:w="5040"/>
          </w:tcPr>
          <w:p>
            <w:r>
              <w:t>ADR-001</w:t>
            </w:r>
          </w:p>
        </w:tc>
        <w:tc>
          <w:tcPr>
            <w:tcW w:type="dxa" w:w="5040"/>
          </w:tcPr>
          <w:p>
            <w:r>
              <w:t>Next.js Route Handlers + Supabase; no separate Node.js backend service</w:t>
            </w:r>
          </w:p>
        </w:tc>
      </w:tr>
      <w:tr>
        <w:tc>
          <w:tcPr>
            <w:tcW w:type="dxa" w:w="5040"/>
          </w:tcPr>
          <w:p>
            <w:r>
              <w:t>ADR-005</w:t>
            </w:r>
          </w:p>
        </w:tc>
        <w:tc>
          <w:tcPr>
            <w:tcW w:type="dxa" w:w="5040"/>
          </w:tcPr>
          <w:p>
            <w:r>
              <w:t>PostgreSQL FTS + pg_trgm</w:t>
            </w:r>
          </w:p>
        </w:tc>
      </w:tr>
      <w:tr>
        <w:tc>
          <w:tcPr>
            <w:tcW w:type="dxa" w:w="5040"/>
          </w:tcPr>
          <w:p>
            <w:r>
              <w:t>ADR-006</w:t>
            </w:r>
          </w:p>
        </w:tc>
        <w:tc>
          <w:tcPr>
            <w:tcW w:type="dxa" w:w="5040"/>
          </w:tcPr>
          <w:p>
            <w:r>
              <w:t>Vercel Cron + Postgres Trigger / Database Webhook</w:t>
            </w:r>
          </w:p>
        </w:tc>
      </w:tr>
      <w:tr>
        <w:tc>
          <w:tcPr>
            <w:tcW w:type="dxa" w:w="5040"/>
          </w:tcPr>
          <w:p>
            <w:r>
              <w:t>ADR-008</w:t>
            </w:r>
          </w:p>
        </w:tc>
        <w:tc>
          <w:tcPr>
            <w:tcW w:type="dxa" w:w="5040"/>
          </w:tcPr>
          <w:p>
            <w:r>
              <w:t>Leaflet + OSM + LocationIQ/Geoapify abstraction</w:t>
            </w:r>
          </w:p>
        </w:tc>
      </w:tr>
      <w:tr>
        <w:tc>
          <w:tcPr>
            <w:tcW w:type="dxa" w:w="5040"/>
          </w:tcPr>
          <w:p>
            <w:r>
              <w:t>ADR-018</w:t>
            </w:r>
          </w:p>
        </w:tc>
        <w:tc>
          <w:tcPr>
            <w:tcW w:type="dxa" w:w="5040"/>
          </w:tcPr>
          <w:p>
            <w:r>
              <w:t>Supabase Postgres rate_limit_log</w:t>
            </w:r>
          </w:p>
        </w:tc>
      </w:tr>
      <w:tr>
        <w:tc>
          <w:tcPr>
            <w:tcW w:type="dxa" w:w="5040"/>
          </w:tcPr>
          <w:p>
            <w:r>
              <w:t>ADR-028</w:t>
            </w:r>
          </w:p>
        </w:tc>
        <w:tc>
          <w:tcPr>
            <w:tcW w:type="dxa" w:w="5040"/>
          </w:tcPr>
          <w:p>
            <w:r>
              <w:t>Curated/BYOK AI provider strategy</w:t>
            </w:r>
          </w:p>
        </w:tc>
      </w:tr>
    </w:tbl>
    <w:p>
      <w:pPr>
        <w:spacing w:after="80"/>
      </w:pPr>
      <w:r>
        <w:rPr>
          <w:b w:val="0"/>
          <w:i w:val="0"/>
        </w:rPr>
        <w:t>No approved ADR is reopened by W4-02A.6.6.</w:t>
      </w:r>
    </w:p>
    <w:p>
      <w:pPr>
        <w:pStyle w:val="Heading1"/>
      </w:pPr>
      <w:r>
        <w:t>6. COMMERCIAL / PAYMENT TECHNOLOGY DECISIONS</w:t>
      </w:r>
    </w:p>
    <w:p>
      <w:pPr>
        <w:ind w:left="259"/>
      </w:pPr>
      <w:r>
        <w:rPr>
          <w:rFonts w:ascii="Consolas" w:hAnsi="Consolas"/>
          <w:sz w:val="16"/>
        </w:rPr>
        <w:t>Commercial Context</w:t>
        <w:br/>
        <w:t xml:space="preserve">      ↓</w:t>
        <w:br/>
        <w:t>Order</w:t>
        <w:br/>
        <w:t xml:space="preserve">      ↓</w:t>
        <w:br/>
        <w:t>Payment Core</w:t>
        <w:br/>
        <w:t xml:space="preserve">      ↓</w:t>
        <w:br/>
        <w:t>Provider Adapter</w:t>
        <w:br/>
        <w:t xml:space="preserve">      ↓</w:t>
        <w:br/>
        <w:t>Provider Result</w:t>
        <w:br/>
        <w:t xml:space="preserve">      ↓</w:t>
        <w:br/>
        <w:t>Verification</w:t>
        <w:br/>
        <w:t xml:space="preserve">      ↓</w:t>
        <w:br/>
        <w:t>Idempotency</w:t>
        <w:br/>
        <w:t xml:space="preserve">      ↓</w:t>
        <w:br/>
        <w:t>Confirmed Payment</w:t>
        <w:br/>
        <w:t xml:space="preserve">      ↓</w:t>
        <w:br/>
        <w:t>Commercial Fulfillment</w:t>
        <w:br/>
        <w:t xml:space="preserve">      ↓</w:t>
        <w:br/>
        <w:t>Commercial Entitlement</w:t>
        <w:br/>
        <w:t xml:space="preserve">      ↓</w:t>
        <w:br/>
        <w:t>Quota Capacity</w:t>
      </w:r>
    </w:p>
    <w:p>
      <w:pPr>
        <w:pStyle w:val="ListBullet"/>
        <w:spacing w:after="40"/>
      </w:pPr>
      <w:r>
        <w:t>MADCR-010 — Commercial Entitlement is the commercial quota/access authority.</w:t>
      </w:r>
    </w:p>
    <w:p>
      <w:pPr>
        <w:pStyle w:val="ListBullet"/>
        <w:spacing w:after="40"/>
      </w:pPr>
      <w:r>
        <w:t>MADCR-011 — Payment belongs to M14 Commercial / Payment subdomain.</w:t>
      </w:r>
    </w:p>
    <w:p>
      <w:pPr>
        <w:pStyle w:val="ListBullet"/>
        <w:spacing w:after="40"/>
      </w:pPr>
      <w:r>
        <w:t>MADCR-002 — Payment Core is provider-independent and provider-specific mechanics stay behind Provider Adapter.</w:t>
      </w:r>
    </w:p>
    <w:p>
      <w:pPr>
        <w:pStyle w:val="ListBullet"/>
        <w:spacing w:after="40"/>
      </w:pPr>
      <w:r>
        <w:t>MADCR-003 — payment must be verified and fulfillment idempotent.</w:t>
      </w:r>
    </w:p>
    <w:p>
      <w:pPr>
        <w:pStyle w:val="ListBullet"/>
        <w:spacing w:after="40"/>
      </w:pPr>
      <w:r>
        <w:t>MADCR-005 — reconciliation is first-class.</w:t>
      </w:r>
    </w:p>
    <w:p>
      <w:pPr>
        <w:pStyle w:val="ListBullet"/>
        <w:spacing w:after="40"/>
      </w:pPr>
      <w:r>
        <w:t>Confirmed purchase terms remain immutable commercial snapshots.</w:t>
      </w:r>
    </w:p>
    <w:p>
      <w:pPr>
        <w:pStyle w:val="ListBullet"/>
        <w:spacing w:after="40"/>
      </w:pPr>
      <w:r>
        <w:t>Payment success does not directly mutate RBAC.</w:t>
      </w:r>
    </w:p>
    <w:p>
      <w:pPr>
        <w:pStyle w:val="ListBullet"/>
        <w:spacing w:after="40"/>
      </w:pPr>
      <w:r>
        <w:t>Commercial Entitlement ≠ RBAC.</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Vendor state</w:t>
            </w:r>
          </w:p>
        </w:tc>
        <w:tc>
          <w:tcPr>
            <w:tcW w:type="dxa" w:w="5040"/>
            <w:shd w:fill="D9EAF7"/>
          </w:tcPr>
          <w:p>
            <w:r>
              <w:t>Current</w:t>
            </w:r>
          </w:p>
        </w:tc>
      </w:tr>
      <w:tr>
        <w:tc>
          <w:tcPr>
            <w:tcW w:type="dxa" w:w="5040"/>
          </w:tcPr>
          <w:p>
            <w:r>
              <w:t>Payment architecture</w:t>
            </w:r>
          </w:p>
        </w:tc>
        <w:tc>
          <w:tcPr>
            <w:tcW w:type="dxa" w:w="5040"/>
          </w:tcPr>
          <w:p>
            <w:r>
              <w:t>APPROVED / GOVERNING</w:t>
            </w:r>
          </w:p>
        </w:tc>
      </w:tr>
      <w:tr>
        <w:tc>
          <w:tcPr>
            <w:tcW w:type="dxa" w:w="5040"/>
          </w:tcPr>
          <w:p>
            <w:r>
              <w:t>Midtrans</w:t>
            </w:r>
          </w:p>
        </w:tc>
        <w:tc>
          <w:tcPr>
            <w:tcW w:type="dxa" w:w="5040"/>
          </w:tcPr>
          <w:p>
            <w:r>
              <w:t>SELECTED MVP implementation provider — CLOSED / GOVERNING</w:t>
            </w:r>
          </w:p>
        </w:tc>
      </w:tr>
      <w:tr>
        <w:tc>
          <w:tcPr>
            <w:tcW w:type="dxa" w:w="5040"/>
          </w:tcPr>
          <w:p>
            <w:r>
              <w:t>Provider Adapter</w:t>
            </w:r>
          </w:p>
        </w:tc>
        <w:tc>
          <w:tcPr>
            <w:tcW w:type="dxa" w:w="5040"/>
          </w:tcPr>
          <w:p>
            <w:r>
              <w:t>MANDATORY architecture boundary</w:t>
            </w:r>
          </w:p>
        </w:tc>
      </w:tr>
      <w:tr>
        <w:tc>
          <w:tcPr>
            <w:tcW w:type="dxa" w:w="5040"/>
          </w:tcPr>
          <w:p>
            <w:r>
              <w:t>Future provider replacement</w:t>
            </w:r>
          </w:p>
        </w:tc>
        <w:tc>
          <w:tcPr>
            <w:tcW w:type="dxa" w:w="5040"/>
          </w:tcPr>
          <w:p>
            <w:r>
              <w:t>Possible without redesigning Payment Core</w:t>
            </w:r>
          </w:p>
        </w:tc>
      </w:tr>
      <w:tr>
        <w:tc>
          <w:tcPr>
            <w:tcW w:type="dxa" w:w="5040"/>
          </w:tcPr>
          <w:p>
            <w:r>
              <w:t>Provider-specific API/auth/verification/error semantics</w:t>
            </w:r>
          </w:p>
        </w:tc>
        <w:tc>
          <w:tcPr>
            <w:tcW w:type="dxa" w:w="5040"/>
          </w:tcPr>
          <w:p>
            <w:r>
              <w:t>Isolated behind adapter</w:t>
            </w:r>
          </w:p>
        </w:tc>
      </w:tr>
    </w:tbl>
    <w:p>
      <w:pPr>
        <w:spacing w:after="80"/>
      </w:pPr>
      <w:r>
        <w:rPr>
          <w:b w:val="0"/>
          <w:i w:val="0"/>
        </w:rPr>
        <w:t>The 18 August Decision Closure Sync R1 explicitly selected Midtrans for MVP behind the Provider Adapter while preserving provider-independent Payment Core. fileciteturn30file11</w:t>
      </w:r>
    </w:p>
    <w:p>
      <w:pPr>
        <w:spacing w:after="80"/>
      </w:pPr>
      <w:r>
        <w:rPr>
          <w:b w:val="0"/>
          <w:i w:val="0"/>
        </w:rPr>
        <w:t>The 19 August revalidation independently confirms MADCR-058 = CLOSED — Midtrans MVP behind Provider Adapter. fileciteturn28file10</w:t>
      </w:r>
    </w:p>
    <w:p>
      <w:pPr>
        <w:pStyle w:val="Heading1"/>
      </w:pPr>
      <w:r>
        <w:t>7. LEARNING ECONOMY TECHNOLOGY DECISIONS</w:t>
      </w:r>
    </w:p>
    <w:p>
      <w:pPr>
        <w:ind w:left="259"/>
      </w:pPr>
      <w:r>
        <w:rPr>
          <w:rFonts w:ascii="Consolas" w:hAnsi="Consolas"/>
          <w:sz w:val="16"/>
        </w:rPr>
        <w:t>Course / Module</w:t>
        <w:br/>
        <w:t xml:space="preserve">      = content/product structure</w:t>
        <w:br/>
        <w:br/>
        <w:t>Learning Activity</w:t>
        <w:br/>
        <w:t xml:space="preserve">      = canonical completion/reward boundary</w:t>
        <w:br/>
        <w:br/>
        <w:t>Learning Economy</w:t>
        <w:br/>
        <w:t xml:space="preserve">      = Learning Point transaction/reward authority</w:t>
      </w:r>
    </w:p>
    <w:p>
      <w:pPr>
        <w:spacing w:after="80"/>
      </w:pPr>
      <w:r>
        <w:rPr>
          <w:b w:val="0"/>
          <w:i w:val="0"/>
        </w:rPr>
        <w:t>MADCR-049 = APPROVED / GOVERNING — Option A.</w:t>
      </w:r>
    </w:p>
    <w:p>
      <w:pPr>
        <w:pStyle w:val="ListBullet"/>
        <w:spacing w:after="40"/>
      </w:pPr>
      <w:r>
        <w:t>Course/Module completion may be represented as a Learning Activity instance/type.</w:t>
      </w:r>
    </w:p>
    <w:p>
      <w:pPr>
        <w:pStyle w:val="ListBullet"/>
        <w:spacing w:after="40"/>
      </w:pPr>
      <w:r>
        <w:t>Learning Activity is the completion/reward boundary.</w:t>
      </w:r>
    </w:p>
    <w:p>
      <w:pPr>
        <w:pStyle w:val="ListBullet"/>
        <w:spacing w:after="40"/>
      </w:pPr>
      <w:r>
        <w:t>Session completion may supply qualifying Learning Activity evidence.</w:t>
      </w:r>
    </w:p>
    <w:p>
      <w:pPr>
        <w:pStyle w:val="ListBullet"/>
        <w:spacing w:after="40"/>
      </w:pPr>
      <w:r>
        <w:t>Session does not directly mutate official LP.</w:t>
      </w:r>
    </w:p>
    <w:p>
      <w:pPr>
        <w:pStyle w:val="ListBullet"/>
        <w:spacing w:after="40"/>
      </w:pPr>
      <w:r>
        <w:t>LP is transaction/ledger-oriented, not balance-only.</w:t>
      </w:r>
    </w:p>
    <w:p>
      <w:pPr>
        <w:pStyle w:val="ListBullet"/>
        <w:spacing w:after="40"/>
      </w:pPr>
      <w:r>
        <w:t>Earned LP provenance traces to activity/completion.</w:t>
      </w:r>
    </w:p>
    <w:p>
      <w:pPr>
        <w:pStyle w:val="ListBullet"/>
        <w:spacing w:after="40"/>
      </w:pPr>
      <w:r>
        <w:t>Purchased LP provenance traces to confirmed commercial/payment provenance.</w:t>
      </w:r>
    </w:p>
    <w:p>
      <w:pPr>
        <w:pStyle w:val="ListBullet"/>
        <w:spacing w:after="40"/>
      </w:pPr>
      <w:r>
        <w:t>Purchased LP grants are idempotent.</w:t>
      </w:r>
    </w:p>
    <w:p>
      <w:pPr>
        <w:pStyle w:val="ListBullet"/>
        <w:spacing w:after="40"/>
      </w:pPr>
      <w:r>
        <w:t>Redeemed/used LP remains traceable.</w:t>
      </w:r>
    </w:p>
    <w:p>
      <w:pPr>
        <w:pStyle w:val="ListBullet"/>
        <w:spacing w:after="40"/>
      </w:pPr>
      <w:r>
        <w:t>Learning Economy configuration is data/configuration, not hard-coded historical constants.</w:t>
      </w:r>
    </w:p>
    <w:p>
      <w:pPr>
        <w:pStyle w:val="ListBullet"/>
        <w:spacing w:after="40"/>
      </w:pPr>
      <w:r>
        <w:t>Configuration changes must not rewrite historical LP transactions/provenance.</w:t>
      </w:r>
    </w:p>
    <w:p>
      <w:pPr>
        <w:pStyle w:val="ListBullet"/>
        <w:spacing w:after="40"/>
      </w:pPr>
      <w:r>
        <w:t>Learning Points ≠ Commercial Entitlement.</w:t>
      </w:r>
    </w:p>
    <w:p>
      <w:pPr>
        <w:pStyle w:val="ListBullet"/>
        <w:spacing w:after="40"/>
      </w:pPr>
      <w:r>
        <w:t>Learning completion ≠ competency.</w:t>
      </w:r>
    </w:p>
    <w:p>
      <w:pPr>
        <w:pStyle w:val="ListBullet"/>
        <w:spacing w:after="40"/>
      </w:pPr>
      <w:r>
        <w:t>LP cannot substitute for mandatory assessment.</w:t>
      </w:r>
    </w:p>
    <w:p>
      <w:pPr>
        <w:spacing w:after="80"/>
      </w:pPr>
      <w:r>
        <w:rPr>
          <w:b w:val="0"/>
          <w:i w:val="0"/>
        </w:rPr>
        <w:t>The predecessor's older OPEN/re-evaluation wording for MADCR-049 is historical and must not be carried as current authority. fileciteturn30file2</w:t>
      </w:r>
    </w:p>
    <w:p>
      <w:pPr>
        <w:pStyle w:val="Heading1"/>
      </w:pPr>
      <w:r>
        <w:t>8. LEARNING SESSION TECHNOLOGY DECISIONS</w:t>
      </w:r>
    </w:p>
    <w:p>
      <w:pPr>
        <w:ind w:left="259"/>
      </w:pPr>
      <w:r>
        <w:rPr>
          <w:rFonts w:ascii="Consolas" w:hAnsi="Consolas"/>
          <w:sz w:val="16"/>
        </w:rPr>
        <w:t>Course Enrollment</w:t>
        <w:br/>
        <w:t>≠</w:t>
        <w:br/>
        <w:t>Event Registration</w:t>
        <w:br/>
        <w:t>≠</w:t>
        <w:br/>
        <w:t>Session Enrollment</w:t>
        <w:br/>
        <w:br/>
        <w:t>Canonical Session</w:t>
        <w:br/>
        <w:t>≠</w:t>
        <w:br/>
        <w:t>Provider Session ID</w:t>
        <w:br/>
        <w:br/>
        <w:t>Provider Binding</w:t>
        <w:br/>
        <w:t>≠</w:t>
        <w:br/>
        <w:t>Session Semantic Identity</w:t>
      </w:r>
    </w:p>
    <w:p>
      <w:pPr>
        <w:ind w:left="259"/>
      </w:pPr>
      <w:r>
        <w:rPr>
          <w:rFonts w:ascii="Consolas" w:hAnsi="Consolas"/>
          <w:sz w:val="16"/>
        </w:rPr>
        <w:t>Provider Event</w:t>
        <w:br/>
        <w:t xml:space="preserve">    ↓</w:t>
        <w:br/>
        <w:t>Validation</w:t>
        <w:br/>
        <w:t xml:space="preserve">    ↓</w:t>
        <w:br/>
        <w:t>Normalization</w:t>
        <w:br/>
        <w:t xml:space="preserve">    ↓</w:t>
        <w:br/>
        <w:t>Correlation</w:t>
        <w:br/>
        <w:t xml:space="preserve">    ↓</w:t>
        <w:br/>
        <w:t>Idempotency</w:t>
        <w:br/>
        <w:t xml:space="preserve">    ↓</w:t>
        <w:br/>
        <w:t>Evidence</w:t>
        <w:br/>
        <w:t xml:space="preserve">    ↓</w:t>
        <w:br/>
        <w:t>Evaluation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Decision</w:t>
            </w:r>
          </w:p>
        </w:tc>
        <w:tc>
          <w:tcPr>
            <w:tcW w:type="dxa" w:w="3360"/>
            <w:shd w:fill="D9EAF7"/>
          </w:tcPr>
          <w:p>
            <w:r>
              <w:t>Current state</w:t>
            </w:r>
          </w:p>
        </w:tc>
        <w:tc>
          <w:tcPr>
            <w:tcW w:type="dxa" w:w="3360"/>
            <w:shd w:fill="D9EAF7"/>
          </w:tcPr>
          <w:p>
            <w:r>
              <w:t>Technology consequence</w:t>
            </w:r>
          </w:p>
        </w:tc>
      </w:tr>
      <w:tr>
        <w:tc>
          <w:tcPr>
            <w:tcW w:type="dxa" w:w="3360"/>
          </w:tcPr>
          <w:p>
            <w:r>
              <w:t>AEP4-OD-01</w:t>
            </w:r>
          </w:p>
        </w:tc>
        <w:tc>
          <w:tcPr>
            <w:tcW w:type="dxa" w:w="3360"/>
          </w:tcPr>
          <w:p>
            <w:r>
              <w:t>APPROVED</w:t>
            </w:r>
          </w:p>
        </w:tc>
        <w:tc>
          <w:tcPr>
            <w:tcW w:type="dxa" w:w="3360"/>
          </w:tcPr>
          <w:p>
            <w:r>
              <w:t>BROADCAST / INTERACTIVE / ON_DEMAND</w:t>
            </w:r>
          </w:p>
        </w:tc>
      </w:tr>
      <w:tr>
        <w:tc>
          <w:tcPr>
            <w:tcW w:type="dxa" w:w="3360"/>
          </w:tcPr>
          <w:p>
            <w:r>
              <w:t>AEP4-OD-02</w:t>
            </w:r>
          </w:p>
        </w:tc>
        <w:tc>
          <w:tcPr>
            <w:tcW w:type="dxa" w:w="3360"/>
          </w:tcPr>
          <w:p>
            <w:r>
              <w:t>APPROVED</w:t>
            </w:r>
          </w:p>
        </w:tc>
        <w:tc>
          <w:tcPr>
            <w:tcW w:type="dxa" w:w="3360"/>
          </w:tcPr>
          <w:p>
            <w:r>
              <w:t>DRAFT → SCHEDULED → LIVE → ENDED; CANCELLED/FAILED exceptions</w:t>
            </w:r>
          </w:p>
        </w:tc>
      </w:tr>
      <w:tr>
        <w:tc>
          <w:tcPr>
            <w:tcW w:type="dxa" w:w="3360"/>
          </w:tcPr>
          <w:p>
            <w:r>
              <w:t>AEP4-OD-03</w:t>
            </w:r>
          </w:p>
        </w:tc>
        <w:tc>
          <w:tcPr>
            <w:tcW w:type="dxa" w:w="3360"/>
          </w:tcPr>
          <w:p>
            <w:r>
              <w:t>APPROVED</w:t>
            </w:r>
          </w:p>
        </w:tc>
        <w:tc>
          <w:tcPr>
            <w:tcW w:type="dxa" w:w="3360"/>
          </w:tcPr>
          <w:p>
            <w:r>
              <w:t>Provider participation is evidence; RumahAgen owns attendance state</w:t>
            </w:r>
          </w:p>
        </w:tc>
      </w:tr>
      <w:tr>
        <w:tc>
          <w:tcPr>
            <w:tcW w:type="dxa" w:w="3360"/>
          </w:tcPr>
          <w:p>
            <w:r>
              <w:t>AEP4-OD-04</w:t>
            </w:r>
          </w:p>
        </w:tc>
        <w:tc>
          <w:tcPr>
            <w:tcW w:type="dxa" w:w="3360"/>
          </w:tcPr>
          <w:p>
            <w:r>
              <w:t>APPROVED</w:t>
            </w:r>
          </w:p>
        </w:tc>
        <w:tc>
          <w:tcPr>
            <w:tcW w:type="dxa" w:w="3360"/>
          </w:tcPr>
          <w:p>
            <w:r>
              <w:t>Completion policy consumes normalized evidence</w:t>
            </w:r>
          </w:p>
        </w:tc>
      </w:tr>
      <w:tr>
        <w:tc>
          <w:tcPr>
            <w:tcW w:type="dxa" w:w="3360"/>
          </w:tcPr>
          <w:p>
            <w:r>
              <w:t>AEP4-OD-05</w:t>
            </w:r>
          </w:p>
        </w:tc>
        <w:tc>
          <w:tcPr>
            <w:tcW w:type="dxa" w:w="3360"/>
          </w:tcPr>
          <w:p>
            <w:r>
              <w:t>APPROVED</w:t>
            </w:r>
          </w:p>
        </w:tc>
        <w:tc>
          <w:tcPr>
            <w:tcW w:type="dxa" w:w="3360"/>
          </w:tcPr>
          <w:p>
            <w:r>
              <w:t>Attendance parameters configurable</w:t>
            </w:r>
          </w:p>
        </w:tc>
      </w:tr>
      <w:tr>
        <w:tc>
          <w:tcPr>
            <w:tcW w:type="dxa" w:w="3360"/>
          </w:tcPr>
          <w:p>
            <w:r>
              <w:t>AEP4-OD-06</w:t>
            </w:r>
          </w:p>
        </w:tc>
        <w:tc>
          <w:tcPr>
            <w:tcW w:type="dxa" w:w="3360"/>
          </w:tcPr>
          <w:p>
            <w:r>
              <w:t>APPROVED</w:t>
            </w:r>
          </w:p>
        </w:tc>
        <w:tc>
          <w:tcPr>
            <w:tcW w:type="dxa" w:w="3360"/>
          </w:tcPr>
          <w:p>
            <w:r>
              <w:t>Qualifying completion feeds Learning Activity; Learning Economy owns LP</w:t>
            </w:r>
          </w:p>
        </w:tc>
      </w:tr>
      <w:tr>
        <w:tc>
          <w:tcPr>
            <w:tcW w:type="dxa" w:w="3360"/>
          </w:tcPr>
          <w:p>
            <w:r>
              <w:t>AEP4-OD-07</w:t>
            </w:r>
          </w:p>
        </w:tc>
        <w:tc>
          <w:tcPr>
            <w:tcW w:type="dxa" w:w="3360"/>
          </w:tcPr>
          <w:p>
            <w:r>
              <w:t>APPROVED</w:t>
            </w:r>
          </w:p>
        </w:tc>
        <w:tc>
          <w:tcPr>
            <w:tcW w:type="dxa" w:w="3360"/>
          </w:tcPr>
          <w:p>
            <w:r>
              <w:t>Provider switching preserves Session identity/history</w:t>
            </w:r>
          </w:p>
        </w:tc>
      </w:tr>
      <w:tr>
        <w:tc>
          <w:tcPr>
            <w:tcW w:type="dxa" w:w="3360"/>
          </w:tcPr>
          <w:p>
            <w:r>
              <w:t>AEP4-OD-08</w:t>
            </w:r>
          </w:p>
        </w:tc>
        <w:tc>
          <w:tcPr>
            <w:tcW w:type="dxa" w:w="3360"/>
          </w:tcPr>
          <w:p>
            <w:r>
              <w:t>CLOSED — GOVERNING</w:t>
            </w:r>
          </w:p>
        </w:tc>
        <w:tc>
          <w:tcPr>
            <w:tcW w:type="dxa" w:w="3360"/>
          </w:tcPr>
          <w:p>
            <w:r>
              <w:t>No automatic provider failover; manual/admin switching</w:t>
            </w:r>
          </w:p>
        </w:tc>
      </w:tr>
      <w:tr>
        <w:tc>
          <w:tcPr>
            <w:tcW w:type="dxa" w:w="3360"/>
          </w:tcPr>
          <w:p>
            <w:r>
              <w:t>AEP4-OD-09</w:t>
            </w:r>
          </w:p>
        </w:tc>
        <w:tc>
          <w:tcPr>
            <w:tcW w:type="dxa" w:w="3360"/>
          </w:tcPr>
          <w:p>
            <w:r>
              <w:t>APPROVED</w:t>
            </w:r>
          </w:p>
        </w:tc>
        <w:tc>
          <w:tcPr>
            <w:tcW w:type="dxa" w:w="3360"/>
          </w:tcPr>
          <w:p>
            <w:r>
              <w:t>Recording optional and separate from attendance/completion</w:t>
            </w:r>
          </w:p>
        </w:tc>
      </w:tr>
      <w:tr>
        <w:tc>
          <w:tcPr>
            <w:tcW w:type="dxa" w:w="3360"/>
          </w:tcPr>
          <w:p>
            <w:r>
              <w:t>AEP4-OD-10</w:t>
            </w:r>
          </w:p>
        </w:tc>
        <w:tc>
          <w:tcPr>
            <w:tcW w:type="dxa" w:w="3360"/>
          </w:tcPr>
          <w:p>
            <w:r>
              <w:t>APPROVED</w:t>
            </w:r>
          </w:p>
        </w:tc>
        <w:tc>
          <w:tcPr>
            <w:tcW w:type="dxa" w:w="3360"/>
          </w:tcPr>
          <w:p>
            <w:r>
              <w:t>Provider-agnostic architecture</w:t>
            </w:r>
          </w:p>
        </w:tc>
      </w:tr>
      <w:tr>
        <w:tc>
          <w:tcPr>
            <w:tcW w:type="dxa" w:w="3360"/>
          </w:tcPr>
          <w:p>
            <w:r>
              <w:t>AEP4-OD-11</w:t>
            </w:r>
          </w:p>
        </w:tc>
        <w:tc>
          <w:tcPr>
            <w:tcW w:type="dxa" w:w="3360"/>
          </w:tcPr>
          <w:p>
            <w:r>
              <w:t>APPROVED</w:t>
            </w:r>
          </w:p>
        </w:tc>
        <w:tc>
          <w:tcPr>
            <w:tcW w:type="dxa" w:w="3360"/>
          </w:tcPr>
          <w:p>
            <w:r>
              <w:t>No universal provider ranking/priority</w:t>
            </w:r>
          </w:p>
        </w:tc>
      </w:tr>
      <w:tr>
        <w:tc>
          <w:tcPr>
            <w:tcW w:type="dxa" w:w="3360"/>
          </w:tcPr>
          <w:p>
            <w:r>
              <w:t>AEP4-OD-12</w:t>
            </w:r>
          </w:p>
        </w:tc>
        <w:tc>
          <w:tcPr>
            <w:tcW w:type="dxa" w:w="3360"/>
          </w:tcPr>
          <w:p>
            <w:r>
              <w:t>APPROVED</w:t>
            </w:r>
          </w:p>
        </w:tc>
        <w:tc>
          <w:tcPr>
            <w:tcW w:type="dxa" w:w="3360"/>
          </w:tcPr>
          <w:p>
            <w:r>
              <w:t>AI assistive only; never attendance/completion/LP/competency/credential/Title authority</w:t>
            </w:r>
          </w:p>
        </w:tc>
      </w:tr>
      <w:tr>
        <w:tc>
          <w:tcPr>
            <w:tcW w:type="dxa" w:w="3360"/>
          </w:tcPr>
          <w:p>
            <w:r>
              <w:t>AEP4-OD-13</w:t>
            </w:r>
          </w:p>
        </w:tc>
        <w:tc>
          <w:tcPr>
            <w:tcW w:type="dxa" w:w="3360"/>
          </w:tcPr>
          <w:p>
            <w:r>
              <w:t>APPROVED</w:t>
            </w:r>
          </w:p>
        </w:tc>
        <w:tc>
          <w:tcPr>
            <w:tcW w:type="dxa" w:w="3360"/>
          </w:tcPr>
          <w:p>
            <w:r>
              <w:t>Paid access consumes Commercial/Payment outcome</w:t>
            </w:r>
          </w:p>
        </w:tc>
      </w:tr>
      <w:tr>
        <w:tc>
          <w:tcPr>
            <w:tcW w:type="dxa" w:w="3360"/>
          </w:tcPr>
          <w:p>
            <w:r>
              <w:t>AEP4-OD-14</w:t>
            </w:r>
          </w:p>
        </w:tc>
        <w:tc>
          <w:tcPr>
            <w:tcW w:type="dxa" w:w="3360"/>
          </w:tcPr>
          <w:p>
            <w:r>
              <w:t>APPROVED</w:t>
            </w:r>
          </w:p>
        </w:tc>
        <w:tc>
          <w:tcPr>
            <w:tcW w:type="dxa" w:w="3360"/>
          </w:tcPr>
          <w:p>
            <w:r>
              <w:t>Organization/workspace context where applicable</w:t>
            </w:r>
          </w:p>
        </w:tc>
      </w:tr>
      <w:tr>
        <w:tc>
          <w:tcPr>
            <w:tcW w:type="dxa" w:w="3360"/>
          </w:tcPr>
          <w:p>
            <w:r>
              <w:t>AEP4-OD-15</w:t>
            </w:r>
          </w:p>
        </w:tc>
        <w:tc>
          <w:tcPr>
            <w:tcW w:type="dxa" w:w="3360"/>
          </w:tcPr>
          <w:p>
            <w:r>
              <w:t>APPROVED</w:t>
            </w:r>
          </w:p>
        </w:tc>
        <w:tc>
          <w:tcPr>
            <w:tcW w:type="dxa" w:w="3360"/>
          </w:tcPr>
          <w:p>
            <w:r>
              <w:t>Visibility is semantic access scope, distinct from RBAC</w:t>
            </w:r>
          </w:p>
        </w:tc>
      </w:tr>
      <w:tr>
        <w:tc>
          <w:tcPr>
            <w:tcW w:type="dxa" w:w="3360"/>
          </w:tcPr>
          <w:p>
            <w:r>
              <w:t>AEP4-OD-16</w:t>
            </w:r>
          </w:p>
        </w:tc>
        <w:tc>
          <w:tcPr>
            <w:tcW w:type="dxa" w:w="3360"/>
          </w:tcPr>
          <w:p>
            <w:r>
              <w:t>APPROVED</w:t>
            </w:r>
          </w:p>
        </w:tc>
        <w:tc>
          <w:tcPr>
            <w:tcW w:type="dxa" w:w="3360"/>
          </w:tcPr>
          <w:p>
            <w:r>
              <w:t>Session enrollment/access lifecycle</w:t>
            </w:r>
          </w:p>
        </w:tc>
      </w:tr>
      <w:tr>
        <w:tc>
          <w:tcPr>
            <w:tcW w:type="dxa" w:w="3360"/>
          </w:tcPr>
          <w:p>
            <w:r>
              <w:t>AEP4-OD-17</w:t>
            </w:r>
          </w:p>
        </w:tc>
        <w:tc>
          <w:tcPr>
            <w:tcW w:type="dxa" w:w="3360"/>
          </w:tcPr>
          <w:p>
            <w:r>
              <w:t>APPROVED</w:t>
            </w:r>
          </w:p>
        </w:tc>
        <w:tc>
          <w:tcPr>
            <w:tcW w:type="dxa" w:w="3360"/>
          </w:tcPr>
          <w:p>
            <w:r>
              <w:t>PENDING → ACTIVE → COMPLETED</w:t>
            </w:r>
          </w:p>
        </w:tc>
      </w:tr>
    </w:tbl>
    <w:p>
      <w:pPr>
        <w:pStyle w:val="ListBullet"/>
        <w:spacing w:after="40"/>
      </w:pPr>
      <w:r>
        <w:t>Provider-neutral architecture is approved.</w:t>
      </w:r>
    </w:p>
    <w:p>
      <w:pPr>
        <w:pStyle w:val="ListBullet"/>
        <w:spacing w:after="40"/>
      </w:pPr>
      <w:r>
        <w:t>Provider Adapter boundary is approved.</w:t>
      </w:r>
    </w:p>
    <w:p>
      <w:pPr>
        <w:pStyle w:val="ListBullet"/>
        <w:spacing w:after="40"/>
      </w:pPr>
      <w:r>
        <w:t>Capability verification is evidence, not universal vendor lock.</w:t>
      </w:r>
    </w:p>
    <w:p>
      <w:pPr>
        <w:pStyle w:val="ListBullet"/>
        <w:spacing w:after="40"/>
      </w:pPr>
      <w:r>
        <w:t>No automatic failover engine, health-routing subsystem or provider state machine is authorized.</w:t>
      </w:r>
    </w:p>
    <w:p>
      <w:pPr>
        <w:spacing w:after="80"/>
      </w:pPr>
      <w:r>
        <w:rPr>
          <w:b w:val="0"/>
          <w:i w:val="0"/>
        </w:rPr>
        <w:t>The post-Wave-1 closure explicitly changed AEP4-OD-08 from OPEN/DEFERRED to CLOSED. fileciteturn28file0</w:t>
      </w:r>
    </w:p>
    <w:p>
      <w:pPr>
        <w:pStyle w:val="Heading1"/>
      </w:pPr>
      <w:r>
        <w:t>9. AWARDING TECHNOLOGY DECISIONS</w:t>
      </w:r>
    </w:p>
    <w:p>
      <w:pPr>
        <w:ind w:left="259"/>
      </w:pPr>
      <w:r>
        <w:rPr>
          <w:rFonts w:ascii="Consolas" w:hAnsi="Consolas"/>
          <w:sz w:val="16"/>
        </w:rPr>
        <w:t>Title Definition</w:t>
        <w:br/>
        <w:t xml:space="preserve">      ↓</w:t>
        <w:br/>
        <w:t>Awarding Path</w:t>
        <w:br/>
        <w:t xml:space="preserve">      ↓</w:t>
        <w:br/>
        <w:t>Path Version</w:t>
        <w:br/>
        <w:t xml:space="preserve">      ↓</w:t>
        <w:br/>
        <w:t>Rule Version</w:t>
        <w:br/>
        <w:t xml:space="preserve">      ↓</w:t>
        <w:br/>
        <w:t>Qualification Evaluation</w:t>
        <w:br/>
        <w:t xml:space="preserve">      ↓</w:t>
        <w:br/>
        <w:t>Award Instance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Decision</w:t>
            </w:r>
          </w:p>
        </w:tc>
        <w:tc>
          <w:tcPr>
            <w:tcW w:type="dxa" w:w="3360"/>
            <w:shd w:fill="D9EAF7"/>
          </w:tcPr>
          <w:p>
            <w:r>
              <w:t>Current state</w:t>
            </w:r>
          </w:p>
        </w:tc>
        <w:tc>
          <w:tcPr>
            <w:tcW w:type="dxa" w:w="3360"/>
            <w:shd w:fill="D9EAF7"/>
          </w:tcPr>
          <w:p>
            <w:r>
              <w:t>Technical treatment</w:t>
            </w:r>
          </w:p>
        </w:tc>
      </w:tr>
      <w:tr>
        <w:tc>
          <w:tcPr>
            <w:tcW w:type="dxa" w:w="3360"/>
          </w:tcPr>
          <w:p>
            <w:r>
              <w:t>MADCR-036</w:t>
            </w:r>
          </w:p>
        </w:tc>
        <w:tc>
          <w:tcPr>
            <w:tcW w:type="dxa" w:w="3360"/>
          </w:tcPr>
          <w:p>
            <w:r>
              <w:t>APPROVED / GOVERNING</w:t>
            </w:r>
          </w:p>
        </w:tc>
        <w:tc>
          <w:tcPr>
            <w:tcW w:type="dxa" w:w="3360"/>
          </w:tcPr>
          <w:p>
            <w:r>
              <w:t>Title Definition ≠ Award Instance</w:t>
            </w:r>
          </w:p>
        </w:tc>
      </w:tr>
      <w:tr>
        <w:tc>
          <w:tcPr>
            <w:tcW w:type="dxa" w:w="3360"/>
          </w:tcPr>
          <w:p>
            <w:r>
              <w:t>MADCR-037</w:t>
            </w:r>
          </w:p>
        </w:tc>
        <w:tc>
          <w:tcPr>
            <w:tcW w:type="dxa" w:w="3360"/>
          </w:tcPr>
          <w:p>
            <w:r>
              <w:t>APPROVED / GOVERNING</w:t>
            </w:r>
          </w:p>
        </w:tc>
        <w:tc>
          <w:tcPr>
            <w:tcW w:type="dxa" w:w="3360"/>
          </w:tcPr>
          <w:p>
            <w:r>
              <w:t>Awarding Path versioned</w:t>
            </w:r>
          </w:p>
        </w:tc>
      </w:tr>
      <w:tr>
        <w:tc>
          <w:tcPr>
            <w:tcW w:type="dxa" w:w="3360"/>
          </w:tcPr>
          <w:p>
            <w:r>
              <w:t>MADCR-041</w:t>
            </w:r>
          </w:p>
        </w:tc>
        <w:tc>
          <w:tcPr>
            <w:tcW w:type="dxa" w:w="3360"/>
          </w:tcPr>
          <w:p>
            <w:r>
              <w:t>APPROVED / GOVERNING</w:t>
            </w:r>
          </w:p>
        </w:tc>
        <w:tc>
          <w:tcPr>
            <w:tcW w:type="dxa" w:w="3360"/>
          </w:tcPr>
          <w:p>
            <w:r>
              <w:t>Awarding Rule versioned</w:t>
            </w:r>
          </w:p>
        </w:tc>
      </w:tr>
      <w:tr>
        <w:tc>
          <w:tcPr>
            <w:tcW w:type="dxa" w:w="3360"/>
          </w:tcPr>
          <w:p>
            <w:r>
              <w:t>MADCR-046</w:t>
            </w:r>
          </w:p>
        </w:tc>
        <w:tc>
          <w:tcPr>
            <w:tcW w:type="dxa" w:w="3360"/>
          </w:tcPr>
          <w:p>
            <w:r>
              <w:t>APPROVED / GOVERNING</w:t>
            </w:r>
          </w:p>
        </w:tc>
        <w:tc>
          <w:tcPr>
            <w:tcW w:type="dxa" w:w="3360"/>
          </w:tcPr>
          <w:p>
            <w:r>
              <w:t>Certificate/Credential ≠ Title/Award Instance</w:t>
            </w:r>
          </w:p>
        </w:tc>
      </w:tr>
      <w:tr>
        <w:tc>
          <w:tcPr>
            <w:tcW w:type="dxa" w:w="3360"/>
          </w:tcPr>
          <w:p>
            <w:r>
              <w:t>AEP3-OD-01</w:t>
            </w:r>
          </w:p>
        </w:tc>
        <w:tc>
          <w:tcPr>
            <w:tcW w:type="dxa" w:w="3360"/>
          </w:tcPr>
          <w:p>
            <w:r>
              <w:t>CLOSED — Option B</w:t>
            </w:r>
          </w:p>
        </w:tc>
        <w:tc>
          <w:tcPr>
            <w:tcW w:type="dxa" w:w="3360"/>
          </w:tcPr>
          <w:p>
            <w:r>
              <w:t>Stable Title Identity; no Title Identity Version</w:t>
            </w:r>
          </w:p>
        </w:tc>
      </w:tr>
      <w:tr>
        <w:tc>
          <w:tcPr>
            <w:tcW w:type="dxa" w:w="3360"/>
          </w:tcPr>
          <w:p>
            <w:r>
              <w:t>AEP3-OD-02</w:t>
            </w:r>
          </w:p>
        </w:tc>
        <w:tc>
          <w:tcPr>
            <w:tcW w:type="dxa" w:w="3360"/>
          </w:tcPr>
          <w:p>
            <w:r>
              <w:t>CLOSED</w:t>
            </w:r>
          </w:p>
        </w:tc>
        <w:tc>
          <w:tcPr>
            <w:tcW w:type="dxa" w:w="3360"/>
          </w:tcPr>
          <w:p>
            <w:r>
              <w:t>One authority source at a time</w:t>
            </w:r>
          </w:p>
        </w:tc>
      </w:tr>
      <w:tr>
        <w:tc>
          <w:tcPr>
            <w:tcW w:type="dxa" w:w="3360"/>
          </w:tcPr>
          <w:p>
            <w:r>
              <w:t>AEP3-OD-03</w:t>
            </w:r>
          </w:p>
        </w:tc>
        <w:tc>
          <w:tcPr>
            <w:tcW w:type="dxa" w:w="3360"/>
          </w:tcPr>
          <w:p>
            <w:r>
              <w:t>CLOSED — GOVERNING</w:t>
            </w:r>
          </w:p>
        </w:tc>
        <w:tc>
          <w:tcPr>
            <w:tcW w:type="dxa" w:w="3360"/>
          </w:tcPr>
          <w:p>
            <w:r>
              <w:t>Reuse existing audit/history; no separate appeal/lifecycle/history subsystem</w:t>
            </w:r>
          </w:p>
        </w:tc>
      </w:tr>
      <w:tr>
        <w:tc>
          <w:tcPr>
            <w:tcW w:type="dxa" w:w="3360"/>
          </w:tcPr>
          <w:p>
            <w:r>
              <w:t>AEP3-OD-04</w:t>
            </w:r>
          </w:p>
        </w:tc>
        <w:tc>
          <w:tcPr>
            <w:tcW w:type="dxa" w:w="3360"/>
          </w:tcPr>
          <w:p>
            <w:r>
              <w:t>CLOSED</w:t>
            </w:r>
          </w:p>
        </w:tc>
        <w:tc>
          <w:tcPr>
            <w:tcW w:type="dxa" w:w="3360"/>
          </w:tcPr>
          <w:p>
            <w:r>
              <w:t>Version/history without mandatory parent Rule Version lineage</w:t>
            </w:r>
          </w:p>
        </w:tc>
      </w:tr>
      <w:tr>
        <w:tc>
          <w:tcPr>
            <w:tcW w:type="dxa" w:w="3360"/>
          </w:tcPr>
          <w:p>
            <w:r>
              <w:t>AEP3-OD-05</w:t>
            </w:r>
          </w:p>
        </w:tc>
        <w:tc>
          <w:tcPr>
            <w:tcW w:type="dxa" w:w="3360"/>
          </w:tcPr>
          <w:p>
            <w:r>
              <w:t>CLOSED</w:t>
            </w:r>
          </w:p>
        </w:tc>
        <w:tc>
          <w:tcPr>
            <w:tcW w:type="dxa" w:w="3360"/>
          </w:tcPr>
          <w:p>
            <w:r>
              <w:t>Qualification selects Rule Version; Award snapshots it</w:t>
            </w:r>
          </w:p>
        </w:tc>
      </w:tr>
      <w:tr>
        <w:tc>
          <w:tcPr>
            <w:tcW w:type="dxa" w:w="3360"/>
          </w:tcPr>
          <w:p>
            <w:r>
              <w:t>AEP3-OD-06</w:t>
            </w:r>
          </w:p>
        </w:tc>
        <w:tc>
          <w:tcPr>
            <w:tcW w:type="dxa" w:w="3360"/>
          </w:tcPr>
          <w:p>
            <w:r>
              <w:t>CLOSED — OPTION B</w:t>
            </w:r>
          </w:p>
        </w:tc>
        <w:tc>
          <w:tcPr>
            <w:tcW w:type="dxa" w:w="3360"/>
          </w:tcPr>
          <w:p>
            <w:r>
              <w:t>Existing roles + capability permissions + explicit Authority/Scope Binding; no dedicated Issuer role</w:t>
            </w:r>
          </w:p>
        </w:tc>
      </w:tr>
    </w:tbl>
    <w:p>
      <w:pPr>
        <w:pStyle w:val="ListBullet"/>
        <w:spacing w:after="40"/>
      </w:pPr>
      <w:r>
        <w:t>No Rule Lineage Engine.</w:t>
      </w:r>
    </w:p>
    <w:p>
      <w:pPr>
        <w:pStyle w:val="ListBullet"/>
        <w:spacing w:after="40"/>
      </w:pPr>
      <w:r>
        <w:t>No Temporal Rule Engine.</w:t>
      </w:r>
    </w:p>
    <w:p>
      <w:pPr>
        <w:pStyle w:val="ListBullet"/>
        <w:spacing w:after="40"/>
      </w:pPr>
      <w:r>
        <w:t>No separate Awarding service.</w:t>
      </w:r>
    </w:p>
    <w:p>
      <w:pPr>
        <w:pStyle w:val="ListBullet"/>
        <w:spacing w:after="40"/>
      </w:pPr>
      <w:r>
        <w:t>No new certificate/Award storage subsystem.</w:t>
      </w:r>
    </w:p>
    <w:p>
      <w:pPr>
        <w:pStyle w:val="ListBullet"/>
        <w:spacing w:after="40"/>
      </w:pPr>
      <w:r>
        <w:t>Historical Award provenance must remain reconstructable.</w:t>
      </w:r>
    </w:p>
    <w:p>
      <w:pPr>
        <w:pStyle w:val="Heading1"/>
      </w:pPr>
      <w:r>
        <w:t>10. AUTHORIZATION TECHNOLOGY DECISIONS</w:t>
      </w:r>
    </w:p>
    <w:p>
      <w:pPr>
        <w:ind w:left="259"/>
      </w:pPr>
      <w:r>
        <w:rPr>
          <w:rFonts w:ascii="Consolas" w:hAnsi="Consolas"/>
          <w:sz w:val="16"/>
        </w:rPr>
        <w:t>Role</w:t>
        <w:br/>
        <w:t>+</w:t>
        <w:br/>
        <w:t>Capability / Permission</w:t>
        <w:br/>
        <w:t>+</w:t>
        <w:br/>
        <w:t>Scope</w:t>
        <w:br/>
        <w:t>+</w:t>
        <w:br/>
        <w:t>Applicable Authority</w:t>
      </w:r>
    </w:p>
    <w:p>
      <w:pPr>
        <w:pStyle w:val="ListBullet"/>
        <w:spacing w:after="40"/>
      </w:pPr>
      <w:r>
        <w:t>MADCR-053 = APPROVED / GOVERNING.</w:t>
      </w:r>
    </w:p>
    <w:p>
      <w:pPr>
        <w:pStyle w:val="ListBullet"/>
        <w:spacing w:after="40"/>
      </w:pPr>
      <w:r>
        <w:t>MADCR-054 = APPROVED / GOVERNING.</w:t>
      </w:r>
    </w:p>
    <w:p>
      <w:pPr>
        <w:pStyle w:val="ListBullet"/>
        <w:spacing w:after="40"/>
      </w:pPr>
      <w:r>
        <w:t>Host ≠ Instructor.</w:t>
      </w:r>
    </w:p>
    <w:p>
      <w:pPr>
        <w:pStyle w:val="ListBullet"/>
        <w:spacing w:after="40"/>
      </w:pPr>
      <w:r>
        <w:t>Commercial Entitlement ≠ RBAC.</w:t>
      </w:r>
    </w:p>
    <w:p>
      <w:pPr>
        <w:pStyle w:val="ListBullet"/>
        <w:spacing w:after="40"/>
      </w:pPr>
      <w:r>
        <w:t>Qualification/Awarding authority ≠ operational permission.</w:t>
      </w:r>
    </w:p>
    <w:p>
      <w:pPr>
        <w:pStyle w:val="ListBullet"/>
        <w:spacing w:after="40"/>
      </w:pPr>
      <w:r>
        <w:t>Visibility ≠ authorization.</w:t>
      </w:r>
    </w:p>
    <w:p>
      <w:pPr>
        <w:pStyle w:val="ListBullet"/>
        <w:spacing w:after="40"/>
      </w:pPr>
      <w:r>
        <w:t>RLS remains enforcement layer.</w:t>
      </w:r>
    </w:p>
    <w:p>
      <w:pPr>
        <w:pStyle w:val="ListBullet"/>
        <w:spacing w:after="40"/>
      </w:pPr>
      <w:r>
        <w:t>AEP3-OD-02 establishes one authority source at a time.</w:t>
      </w:r>
    </w:p>
    <w:p>
      <w:pPr>
        <w:pStyle w:val="ListBullet"/>
        <w:spacing w:after="40"/>
      </w:pPr>
      <w:r>
        <w:t>No multi-authority conflict-resolution engine is introduced.</w:t>
      </w:r>
    </w:p>
    <w:p>
      <w:pPr>
        <w:pStyle w:val="ListBullet"/>
        <w:spacing w:after="40"/>
      </w:pPr>
      <w:r>
        <w:t>Exact permission IDs and physical RLS remain downstream.</w:t>
      </w:r>
    </w:p>
    <w:p>
      <w:pPr>
        <w:pStyle w:val="Heading1"/>
      </w:pPr>
      <w:r>
        <w:t>11. ORGANIZATION / COMMERCIAL / LISTING BOUNDARY</w:t>
      </w:r>
    </w:p>
    <w:p>
      <w:pPr>
        <w:ind w:left="259"/>
      </w:pPr>
      <w:r>
        <w:rPr>
          <w:rFonts w:ascii="Consolas" w:hAnsi="Consolas"/>
          <w:sz w:val="16"/>
        </w:rPr>
        <w:t>Organization</w:t>
        <w:br/>
        <w:t>≠</w:t>
        <w:br/>
        <w:t>Commercial Entitlement</w:t>
        <w:br/>
        <w:br/>
        <w:t>Organization Membership</w:t>
        <w:br/>
        <w:t>≠</w:t>
        <w:br/>
        <w:t>Quota Allocation</w:t>
        <w:br/>
        <w:br/>
        <w:t>Listing</w:t>
        <w:br/>
        <w:t>≠</w:t>
        <w:br/>
        <w:t>Quota Authority</w:t>
      </w:r>
    </w:p>
    <w:p>
      <w:pPr>
        <w:pStyle w:val="ListBullet"/>
        <w:spacing w:after="40"/>
      </w:pPr>
      <w:r>
        <w:t>No new tenancy platform is introduced.</w:t>
      </w:r>
    </w:p>
    <w:p>
      <w:pPr>
        <w:pStyle w:val="ListBullet"/>
        <w:spacing w:after="40"/>
      </w:pPr>
      <w:r>
        <w:t>Organization/Agency context remains within the existing application/database/RLS architecture.</w:t>
      </w:r>
    </w:p>
    <w:p>
      <w:pPr>
        <w:pStyle w:val="ListBullet"/>
        <w:spacing w:after="40"/>
      </w:pPr>
      <w:r>
        <w:t>Commercial Entitlement remains distinct from Organization and Listing authority.</w:t>
      </w:r>
    </w:p>
    <w:p>
      <w:pPr>
        <w:pStyle w:val="ListBullet"/>
        <w:spacing w:after="40"/>
      </w:pPr>
      <w:r>
        <w:t>Organization-scoped authorization remains distinct from platform RBAC.</w:t>
      </w:r>
    </w:p>
    <w:p>
      <w:pPr>
        <w:pStyle w:val="Heading1"/>
      </w:pPr>
      <w:r>
        <w:t>12. CROSS-DOMAIN / BATCH 3–6 TECHNOLOGY CLASSIFICATION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Batch</w:t>
            </w:r>
          </w:p>
        </w:tc>
        <w:tc>
          <w:tcPr>
            <w:tcW w:type="dxa" w:w="5040"/>
            <w:shd w:fill="D9EAF7"/>
          </w:tcPr>
          <w:p>
            <w:r>
              <w:t>Current classification</w:t>
            </w:r>
          </w:p>
        </w:tc>
      </w:tr>
      <w:tr>
        <w:tc>
          <w:tcPr>
            <w:tcW w:type="dxa" w:w="5040"/>
          </w:tcPr>
          <w:p>
            <w:r>
              <w:t>Batch 3</w:t>
            </w:r>
          </w:p>
        </w:tc>
        <w:tc>
          <w:tcPr>
            <w:tcW w:type="dxa" w:w="5040"/>
          </w:tcPr>
          <w:p>
            <w:r>
              <w:t>MADCR-041 APPROVED/GOVERNING; MADCR-038/042/043/050/051 PLANNED / NOT YET VERIFIED; no technology contract promoted for those items.</w:t>
            </w:r>
          </w:p>
        </w:tc>
      </w:tr>
      <w:tr>
        <w:tc>
          <w:tcPr>
            <w:tcW w:type="dxa" w:w="5040"/>
          </w:tcPr>
          <w:p>
            <w:r>
              <w:t>Batch 4</w:t>
            </w:r>
          </w:p>
        </w:tc>
        <w:tc>
          <w:tcPr>
            <w:tcW w:type="dxa" w:w="5040"/>
          </w:tcPr>
          <w:p>
            <w:r>
              <w:t>MADCR-053/054 APPROVED/GOVERNING; MADCR-055/056/057 not promoted without explicit approval.</w:t>
            </w:r>
          </w:p>
        </w:tc>
      </w:tr>
      <w:tr>
        <w:tc>
          <w:tcPr>
            <w:tcW w:type="dxa" w:w="5040"/>
          </w:tcPr>
          <w:p>
            <w:r>
              <w:t>Batch 5</w:t>
            </w:r>
          </w:p>
        </w:tc>
        <w:tc>
          <w:tcPr>
            <w:tcW w:type="dxa" w:w="5040"/>
          </w:tcPr>
          <w:p>
            <w:r>
              <w:t>MADCR-026/027/028 capability research/verification; MADCR-058 now CLOSED — Midtrans MVP; MADCR-052 remains blocked by dependency on MADCR-051.</w:t>
            </w:r>
          </w:p>
        </w:tc>
      </w:tr>
      <w:tr>
        <w:tc>
          <w:tcPr>
            <w:tcW w:type="dxa" w:w="5040"/>
          </w:tcPr>
          <w:p>
            <w:r>
              <w:t>Batch 6</w:t>
            </w:r>
          </w:p>
        </w:tc>
        <w:tc>
          <w:tcPr>
            <w:tcW w:type="dxa" w:w="5040"/>
          </w:tcPr>
          <w:p>
            <w:r>
              <w:t>Final governance cross-check remains a later gate; MADCR-062/063 are not silently promoted into technology decisions.</w:t>
            </w:r>
          </w:p>
        </w:tc>
      </w:tr>
    </w:tbl>
    <w:p>
      <w:pPr>
        <w:spacing w:after="80"/>
      </w:pPr>
      <w:r>
        <w:rPr>
          <w:b w:val="0"/>
          <w:i w:val="0"/>
        </w:rPr>
        <w:t>Batch status is evidence-sensitive. A dependency or appearance in a batch does not itself mean approval. This preserves the predecessor's Batch 3–6 treatment while updating MADCR-058 to its later closure.</w:t>
      </w:r>
    </w:p>
    <w:p>
      <w:pPr>
        <w:pStyle w:val="Heading1"/>
      </w:pPr>
      <w:r>
        <w:t>13. MASTER BUSINESS RULE TREATMENT</w:t>
      </w:r>
    </w:p>
    <w:p>
      <w:pPr>
        <w:spacing w:after="80"/>
      </w:pPr>
      <w:r>
        <w:rPr>
          <w:b w:val="0"/>
          <w:i w:val="0"/>
        </w:rPr>
        <w:t>BR-001–BR-151 remain normative. This Technical Decisions artifact does not recreate the Master BR catalogue.</w:t>
      </w:r>
    </w:p>
    <w:p>
      <w:pPr>
        <w:pStyle w:val="ListBullet"/>
        <w:spacing w:after="40"/>
      </w:pPr>
      <w:r>
        <w:t>provider-independent integration;</w:t>
      </w:r>
    </w:p>
    <w:p>
      <w:pPr>
        <w:pStyle w:val="ListBullet"/>
        <w:spacing w:after="40"/>
      </w:pPr>
      <w:r>
        <w:t>idempotency;</w:t>
      </w:r>
    </w:p>
    <w:p>
      <w:pPr>
        <w:pStyle w:val="ListBullet"/>
        <w:spacing w:after="40"/>
      </w:pPr>
      <w:r>
        <w:t>immutable historical snapshots;</w:t>
      </w:r>
    </w:p>
    <w:p>
      <w:pPr>
        <w:pStyle w:val="ListBullet"/>
        <w:spacing w:after="40"/>
      </w:pPr>
      <w:r>
        <w:t>Learning Activity completion/reward boundary;</w:t>
      </w:r>
    </w:p>
    <w:p>
      <w:pPr>
        <w:pStyle w:val="ListBullet"/>
        <w:spacing w:after="40"/>
      </w:pPr>
      <w:r>
        <w:t>LP transaction/provenance;</w:t>
      </w:r>
    </w:p>
    <w:p>
      <w:pPr>
        <w:pStyle w:val="ListBullet"/>
        <w:spacing w:after="40"/>
      </w:pPr>
      <w:r>
        <w:t>assessment/competency separation;</w:t>
      </w:r>
    </w:p>
    <w:p>
      <w:pPr>
        <w:pStyle w:val="ListBullet"/>
        <w:spacing w:after="40"/>
      </w:pPr>
      <w:r>
        <w:t>Award provenance;</w:t>
      </w:r>
    </w:p>
    <w:p>
      <w:pPr>
        <w:pStyle w:val="ListBullet"/>
        <w:spacing w:after="40"/>
      </w:pPr>
      <w:r>
        <w:t>authorization separation;</w:t>
      </w:r>
    </w:p>
    <w:p>
      <w:pPr>
        <w:pStyle w:val="ListBullet"/>
        <w:spacing w:after="40"/>
      </w:pPr>
      <w:r>
        <w:t>visibility vs authorization;</w:t>
      </w:r>
    </w:p>
    <w:p>
      <w:pPr>
        <w:pStyle w:val="ListBullet"/>
        <w:spacing w:after="40"/>
      </w:pPr>
      <w:r>
        <w:t>configuration-history integrity;</w:t>
      </w:r>
    </w:p>
    <w:p>
      <w:pPr>
        <w:pStyle w:val="ListBullet"/>
        <w:spacing w:after="40"/>
      </w:pPr>
      <w:r>
        <w:t>provider evidence normalization;</w:t>
      </w:r>
    </w:p>
    <w:p>
      <w:pPr>
        <w:pStyle w:val="ListBullet"/>
        <w:spacing w:after="40"/>
      </w:pPr>
      <w:r>
        <w:t>Session/Enrollment lifecycle separation.</w:t>
      </w:r>
    </w:p>
    <w:p>
      <w:pPr>
        <w:spacing w:after="80"/>
      </w:pPr>
      <w:r>
        <w:rPr>
          <w:b w:val="0"/>
          <w:i w:val="0"/>
        </w:rPr>
        <w:t>Where exact individual BR-ID mapping is not supported, no BR-ID is invented.</w:t>
      </w:r>
    </w:p>
    <w:p>
      <w:pPr>
        <w:pStyle w:val="Heading1"/>
      </w:pPr>
      <w:r>
        <w:t>14. TECHNOLOGY STATE MODEL</w:t>
      </w:r>
    </w:p>
    <w:p>
      <w:pPr>
        <w:ind w:left="259"/>
      </w:pPr>
      <w:r>
        <w:rPr>
          <w:rFonts w:ascii="Consolas" w:hAnsi="Consolas"/>
          <w:sz w:val="16"/>
        </w:rPr>
        <w:t>CORE STACK</w:t>
        <w:br/>
        <w:t xml:space="preserve">      ↓</w:t>
        <w:br/>
        <w:t>APPROVED INTEGRATION ARCHITECTURE</w:t>
        <w:br/>
        <w:t xml:space="preserve">      ↓</w:t>
        <w:br/>
        <w:t>SELECTED MVP IMPLEMENTATION PROVIDER / CAPABILITY-VERIFIED PROVIDER</w:t>
        <w:br/>
        <w:t xml:space="preserve">      ↓</w:t>
        <w:br/>
        <w:t>PROVIDER ADAPTER</w:t>
        <w:br/>
        <w:t xml:space="preserve">      ↓</w:t>
        <w:br/>
        <w:t>INTENTIONALLY DEFERRED / DOWNSTREAM PHYSICAL DETAIL</w:t>
        <w:br/>
        <w:t xml:space="preserve">      ↓</w:t>
        <w:br/>
        <w:t>RUNTIME VERIFICATION</w:t>
      </w:r>
    </w:p>
    <w:p>
      <w:pPr>
        <w:pStyle w:val="ListBullet"/>
        <w:spacing w:after="40"/>
      </w:pPr>
      <w:r>
        <w:t>Midtrans is now the selected MVP implementation provider, but is not a hard dependency of Payment Core.</w:t>
      </w:r>
    </w:p>
    <w:p>
      <w:pPr>
        <w:pStyle w:val="ListBullet"/>
        <w:spacing w:after="40"/>
      </w:pPr>
      <w:r>
        <w:t>Daily/Zoom/LiveKit/Google Meet/YouTube Live remain provider capability evidence/candidates, not universal mandatory core-stack vendors.</w:t>
      </w:r>
    </w:p>
    <w:p>
      <w:pPr>
        <w:pStyle w:val="ListBullet"/>
        <w:spacing w:after="40"/>
      </w:pPr>
      <w:r>
        <w:t>Automatic provider failover is not an implementation requirement.</w:t>
      </w:r>
    </w:p>
    <w:p>
      <w:pPr>
        <w:pStyle w:val="ListBullet"/>
        <w:spacing w:after="40"/>
      </w:pPr>
      <w:r>
        <w:t>Open Batch 3–6 items are not technology commitments.</w:t>
      </w:r>
    </w:p>
    <w:p>
      <w:pPr>
        <w:pStyle w:val="Heading1"/>
      </w:pPr>
      <w:r>
        <w:t>15. IMPLEMENTATION BOUNDARY</w:t>
      </w:r>
    </w:p>
    <w:p>
      <w:pPr>
        <w:pStyle w:val="ListBullet"/>
        <w:spacing w:after="40"/>
      </w:pPr>
      <w:r>
        <w:t>No ERD modification is authorized by this artifact.</w:t>
      </w:r>
    </w:p>
    <w:p>
      <w:pPr>
        <w:pStyle w:val="ListBullet"/>
        <w:spacing w:after="40"/>
      </w:pPr>
      <w:r>
        <w:t>No database migration is authorized.</w:t>
      </w:r>
    </w:p>
    <w:p>
      <w:pPr>
        <w:pStyle w:val="ListBullet"/>
        <w:spacing w:after="40"/>
      </w:pPr>
      <w:r>
        <w:t>No Supabase migration execution is authorized.</w:t>
      </w:r>
    </w:p>
    <w:p>
      <w:pPr>
        <w:pStyle w:val="ListBullet"/>
        <w:spacing w:after="40"/>
      </w:pPr>
      <w:r>
        <w:t>No API implementation is authorized.</w:t>
      </w:r>
    </w:p>
    <w:p>
      <w:pPr>
        <w:pStyle w:val="ListBullet"/>
        <w:spacing w:after="40"/>
      </w:pPr>
      <w:r>
        <w:t>No permission-ID creation is authorized.</w:t>
      </w:r>
    </w:p>
    <w:p>
      <w:pPr>
        <w:pStyle w:val="ListBullet"/>
        <w:spacing w:after="40"/>
      </w:pPr>
      <w:r>
        <w:t>No RLS mutation is authorized.</w:t>
      </w:r>
    </w:p>
    <w:p>
      <w:pPr>
        <w:pStyle w:val="ListBullet"/>
        <w:spacing w:after="40"/>
      </w:pPr>
      <w:r>
        <w:t>No provider integration deployment is authorized.</w:t>
      </w:r>
    </w:p>
    <w:p>
      <w:pPr>
        <w:pStyle w:val="ListBullet"/>
        <w:spacing w:after="40"/>
      </w:pPr>
      <w:r>
        <w:t>No frontend implementation is authorized.</w:t>
      </w:r>
    </w:p>
    <w:p>
      <w:pPr>
        <w:pStyle w:val="ListBullet"/>
        <w:spacing w:after="40"/>
      </w:pPr>
      <w:r>
        <w:t>No Bolt implementation is authorized.</w:t>
      </w:r>
    </w:p>
    <w:p>
      <w:pPr>
        <w:pStyle w:val="ListBullet"/>
        <w:spacing w:after="40"/>
      </w:pPr>
      <w:r>
        <w:t>No T1–T5 execution is authorized.</w:t>
      </w:r>
    </w:p>
    <w:p>
      <w:pPr>
        <w:pStyle w:val="ListBullet"/>
        <w:spacing w:after="40"/>
      </w:pPr>
      <w:r>
        <w:t>Technology architecture is synchronized first; physical reality is verified later.</w:t>
      </w:r>
    </w:p>
    <w:p>
      <w:pPr>
        <w:pStyle w:val="Heading1"/>
      </w:pPr>
      <w:r>
        <w:t>16. CURRENT CONTROLLED RESIDUALS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Residual</w:t>
            </w:r>
          </w:p>
        </w:tc>
        <w:tc>
          <w:tcPr>
            <w:tcW w:type="dxa" w:w="5040"/>
            <w:shd w:fill="D9EAF7"/>
          </w:tcPr>
          <w:p>
            <w:r>
              <w:t>Current classification / treatment</w:t>
            </w:r>
          </w:p>
        </w:tc>
      </w:tr>
      <w:tr>
        <w:tc>
          <w:tcPr>
            <w:tcW w:type="dxa" w:w="5040"/>
          </w:tcPr>
          <w:p>
            <w:r>
              <w:t>Provider operational OAuth/account/plan/quota/rate constraints</w:t>
            </w:r>
          </w:p>
        </w:tc>
        <w:tc>
          <w:tcPr>
            <w:tcW w:type="dxa" w:w="5040"/>
          </w:tcPr>
          <w:p>
            <w:r>
              <w:t>Operational/provider evidence; verify downstream</w:t>
            </w:r>
          </w:p>
        </w:tc>
      </w:tr>
      <w:tr>
        <w:tc>
          <w:tcPr>
            <w:tcW w:type="dxa" w:w="5040"/>
          </w:tcPr>
          <w:p>
            <w:r>
              <w:t>Exact physical schema/cardinality</w:t>
            </w:r>
          </w:p>
        </w:tc>
        <w:tc>
          <w:tcPr>
            <w:tcW w:type="dxa" w:w="5040"/>
          </w:tcPr>
          <w:p>
            <w:r>
              <w:t>Downstream ERD/Dictionary/Schema; do not invent here</w:t>
            </w:r>
          </w:p>
        </w:tc>
      </w:tr>
      <w:tr>
        <w:tc>
          <w:tcPr>
            <w:tcW w:type="dxa" w:w="5040"/>
          </w:tcPr>
          <w:p>
            <w:r>
              <w:t>Exact API payload/state contracts</w:t>
            </w:r>
          </w:p>
        </w:tc>
        <w:tc>
          <w:tcPr>
            <w:tcW w:type="dxa" w:w="5040"/>
          </w:tcPr>
          <w:p>
            <w:r>
              <w:t>Downstream API contract</w:t>
            </w:r>
          </w:p>
        </w:tc>
      </w:tr>
      <w:tr>
        <w:tc>
          <w:tcPr>
            <w:tcW w:type="dxa" w:w="5040"/>
          </w:tcPr>
          <w:p>
            <w:r>
              <w:t>Exact permission IDs / RLS implementation</w:t>
            </w:r>
          </w:p>
        </w:tc>
        <w:tc>
          <w:tcPr>
            <w:tcW w:type="dxa" w:w="5040"/>
          </w:tcPr>
          <w:p>
            <w:r>
              <w:t>Downstream authorization gate</w:t>
            </w:r>
          </w:p>
        </w:tc>
      </w:tr>
      <w:tr>
        <w:tc>
          <w:tcPr>
            <w:tcW w:type="dxa" w:w="5040"/>
          </w:tcPr>
          <w:p>
            <w:r>
              <w:t>Attendance numeric configuration</w:t>
            </w:r>
          </w:p>
        </w:tc>
        <w:tc>
          <w:tcPr>
            <w:tcW w:type="dxa" w:w="5040"/>
          </w:tcPr>
          <w:p>
            <w:r>
              <w:t>Config/business detail; do not invent</w:t>
            </w:r>
          </w:p>
        </w:tc>
      </w:tr>
      <w:tr>
        <w:tc>
          <w:tcPr>
            <w:tcW w:type="dxa" w:w="5040"/>
          </w:tcPr>
          <w:p>
            <w:r>
              <w:t>Recording retention/privacy/replay</w:t>
            </w:r>
          </w:p>
        </w:tc>
        <w:tc>
          <w:tcPr>
            <w:tcW w:type="dxa" w:w="5040"/>
          </w:tcPr>
          <w:p>
            <w:r>
              <w:t>Operational/policy detail downstream</w:t>
            </w:r>
          </w:p>
        </w:tc>
      </w:tr>
      <w:tr>
        <w:tc>
          <w:tcPr>
            <w:tcW w:type="dxa" w:w="5040"/>
          </w:tcPr>
          <w:p>
            <w:r>
              <w:t>Migration execution / Development DB modification</w:t>
            </w:r>
          </w:p>
        </w:tc>
        <w:tc>
          <w:tcPr>
            <w:tcW w:type="dxa" w:w="5040"/>
          </w:tcPr>
          <w:p>
            <w:r>
              <w:t>Execution gate; not authorized here</w:t>
            </w:r>
          </w:p>
        </w:tc>
      </w:tr>
      <w:tr>
        <w:tc>
          <w:tcPr>
            <w:tcW w:type="dxa" w:w="5040"/>
          </w:tcPr>
          <w:p>
            <w:r>
              <w:t>Runtime verification</w:t>
            </w:r>
          </w:p>
        </w:tc>
        <w:tc>
          <w:tcPr>
            <w:tcW w:type="dxa" w:w="5040"/>
          </w:tcPr>
          <w:p>
            <w:r>
              <w:t>W4-03 / TECH evidence gate</w:t>
            </w:r>
          </w:p>
        </w:tc>
      </w:tr>
      <w:tr>
        <w:tc>
          <w:tcPr>
            <w:tcW w:type="dxa" w:w="5040"/>
          </w:tcPr>
          <w:p>
            <w:r>
              <w:t>Production authorization</w:t>
            </w:r>
          </w:p>
        </w:tc>
        <w:tc>
          <w:tcPr>
            <w:tcW w:type="dxa" w:w="5040"/>
          </w:tcPr>
          <w:p>
            <w:r>
              <w:t>Separate release gate</w:t>
            </w:r>
          </w:p>
        </w:tc>
      </w:tr>
      <w:tr>
        <w:tc>
          <w:tcPr>
            <w:tcW w:type="dxa" w:w="5040"/>
          </w:tcPr>
          <w:p>
            <w:r>
              <w:t>Batch 3/4/5 unapproved items</w:t>
            </w:r>
          </w:p>
        </w:tc>
        <w:tc>
          <w:tcPr>
            <w:tcW w:type="dxa" w:w="5040"/>
          </w:tcPr>
          <w:p>
            <w:r>
              <w:t>Remain status-sensitive; do not promote</w:t>
            </w:r>
          </w:p>
        </w:tc>
      </w:tr>
    </w:tbl>
    <w:p>
      <w:pPr>
        <w:spacing w:after="80"/>
      </w:pPr>
      <w:r>
        <w:rPr>
          <w:b w:val="0"/>
          <w:i w:val="0"/>
        </w:rPr>
        <w:t>The following are NOT current residuals and must not be reopened as OPEN: MADCR-049; MADCR-053; MADCR-054; OPEN-C01/MADCR-012; AEP3-OD-01/02/03/04/05; AEP4-OD-08; MADCR-058; MBR-COM-001–013. The 19 August revalidation explicitly confirms these closure states. fileciteturn28file10</w:t>
      </w:r>
    </w:p>
    <w:p>
      <w:pPr>
        <w:pStyle w:val="Heading1"/>
      </w:pPr>
      <w:r>
        <w:t>17. CURRENT CLOSURE PROPAGATION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Decision / closure</w:t>
            </w:r>
          </w:p>
        </w:tc>
        <w:tc>
          <w:tcPr>
            <w:tcW w:type="dxa" w:w="5040"/>
            <w:shd w:fill="D9EAF7"/>
          </w:tcPr>
          <w:p>
            <w:r>
              <w:t>Current technical consequence</w:t>
            </w:r>
          </w:p>
        </w:tc>
      </w:tr>
      <w:tr>
        <w:tc>
          <w:tcPr>
            <w:tcW w:type="dxa" w:w="5040"/>
          </w:tcPr>
          <w:p>
            <w:r>
              <w:t>OPEN-C01 / MADCR-012</w:t>
            </w:r>
          </w:p>
        </w:tc>
        <w:tc>
          <w:tcPr>
            <w:tcW w:type="dxa" w:w="5040"/>
          </w:tcPr>
          <w:p>
            <w:r>
              <w:t>CLOSED — complementary Commercial architecture; no new authority/domain/subsystem</w:t>
            </w:r>
          </w:p>
        </w:tc>
      </w:tr>
      <w:tr>
        <w:tc>
          <w:tcPr>
            <w:tcW w:type="dxa" w:w="5040"/>
          </w:tcPr>
          <w:p>
            <w:r>
              <w:t>MADCR-049</w:t>
            </w:r>
          </w:p>
        </w:tc>
        <w:tc>
          <w:tcPr>
            <w:tcW w:type="dxa" w:w="5040"/>
          </w:tcPr>
          <w:p>
            <w:r>
              <w:t>APPROVED — Learning Activity = completion/reward boundary</w:t>
            </w:r>
          </w:p>
        </w:tc>
      </w:tr>
      <w:tr>
        <w:tc>
          <w:tcPr>
            <w:tcW w:type="dxa" w:w="5040"/>
          </w:tcPr>
          <w:p>
            <w:r>
              <w:t>MADCR-053</w:t>
            </w:r>
          </w:p>
        </w:tc>
        <w:tc>
          <w:tcPr>
            <w:tcW w:type="dxa" w:w="5040"/>
          </w:tcPr>
          <w:p>
            <w:r>
              <w:t>APPROVED — Capability + Permission + Scope</w:t>
            </w:r>
          </w:p>
        </w:tc>
      </w:tr>
      <w:tr>
        <w:tc>
          <w:tcPr>
            <w:tcW w:type="dxa" w:w="5040"/>
          </w:tcPr>
          <w:p>
            <w:r>
              <w:t>MADCR-054</w:t>
            </w:r>
          </w:p>
        </w:tc>
        <w:tc>
          <w:tcPr>
            <w:tcW w:type="dxa" w:w="5040"/>
          </w:tcPr>
          <w:p>
            <w:r>
              <w:t>APPROVED — Host and Instructor separate capabilities</w:t>
            </w:r>
          </w:p>
        </w:tc>
      </w:tr>
      <w:tr>
        <w:tc>
          <w:tcPr>
            <w:tcW w:type="dxa" w:w="5040"/>
          </w:tcPr>
          <w:p>
            <w:r>
              <w:t>AEP3-OD-01</w:t>
            </w:r>
          </w:p>
        </w:tc>
        <w:tc>
          <w:tcPr>
            <w:tcW w:type="dxa" w:w="5040"/>
          </w:tcPr>
          <w:p>
            <w:r>
              <w:t>CLOSED — stable Title Identity</w:t>
            </w:r>
          </w:p>
        </w:tc>
      </w:tr>
      <w:tr>
        <w:tc>
          <w:tcPr>
            <w:tcW w:type="dxa" w:w="5040"/>
          </w:tcPr>
          <w:p>
            <w:r>
              <w:t>AEP3-OD-02</w:t>
            </w:r>
          </w:p>
        </w:tc>
        <w:tc>
          <w:tcPr>
            <w:tcW w:type="dxa" w:w="5040"/>
          </w:tcPr>
          <w:p>
            <w:r>
              <w:t>CLOSED — one authority source</w:t>
            </w:r>
          </w:p>
        </w:tc>
      </w:tr>
      <w:tr>
        <w:tc>
          <w:tcPr>
            <w:tcW w:type="dxa" w:w="5040"/>
          </w:tcPr>
          <w:p>
            <w:r>
              <w:t>AEP3-OD-03</w:t>
            </w:r>
          </w:p>
        </w:tc>
        <w:tc>
          <w:tcPr>
            <w:tcW w:type="dxa" w:w="5040"/>
          </w:tcPr>
          <w:p>
            <w:r>
              <w:t>CLOSED — reuse existing audit/history</w:t>
            </w:r>
          </w:p>
        </w:tc>
      </w:tr>
      <w:tr>
        <w:tc>
          <w:tcPr>
            <w:tcW w:type="dxa" w:w="5040"/>
          </w:tcPr>
          <w:p>
            <w:r>
              <w:t>AEP3-OD-04</w:t>
            </w:r>
          </w:p>
        </w:tc>
        <w:tc>
          <w:tcPr>
            <w:tcW w:type="dxa" w:w="5040"/>
          </w:tcPr>
          <w:p>
            <w:r>
              <w:t>CLOSED — no mandatory parent Rule Version lineage</w:t>
            </w:r>
          </w:p>
        </w:tc>
      </w:tr>
      <w:tr>
        <w:tc>
          <w:tcPr>
            <w:tcW w:type="dxa" w:w="5040"/>
          </w:tcPr>
          <w:p>
            <w:r>
              <w:t>AEP3-OD-05</w:t>
            </w:r>
          </w:p>
        </w:tc>
        <w:tc>
          <w:tcPr>
            <w:tcW w:type="dxa" w:w="5040"/>
          </w:tcPr>
          <w:p>
            <w:r>
              <w:t>CLOSED — qualification selects Rule Version; Award snapshots it</w:t>
            </w:r>
          </w:p>
        </w:tc>
      </w:tr>
      <w:tr>
        <w:tc>
          <w:tcPr>
            <w:tcW w:type="dxa" w:w="5040"/>
          </w:tcPr>
          <w:p>
            <w:r>
              <w:t>AEP4-OD-08</w:t>
            </w:r>
          </w:p>
        </w:tc>
        <w:tc>
          <w:tcPr>
            <w:tcW w:type="dxa" w:w="5040"/>
          </w:tcPr>
          <w:p>
            <w:r>
              <w:t>CLOSED — no automatic provider failover</w:t>
            </w:r>
          </w:p>
        </w:tc>
      </w:tr>
      <w:tr>
        <w:tc>
          <w:tcPr>
            <w:tcW w:type="dxa" w:w="5040"/>
          </w:tcPr>
          <w:p>
            <w:r>
              <w:t>AEP4-OD-16/17</w:t>
            </w:r>
          </w:p>
        </w:tc>
        <w:tc>
          <w:tcPr>
            <w:tcW w:type="dxa" w:w="5040"/>
          </w:tcPr>
          <w:p>
            <w:r>
              <w:t>APPROVED — Session enrollment/access lifecycle; PENDING → ACTIVE → COMPLETED</w:t>
            </w:r>
          </w:p>
        </w:tc>
      </w:tr>
      <w:tr>
        <w:tc>
          <w:tcPr>
            <w:tcW w:type="dxa" w:w="5040"/>
          </w:tcPr>
          <w:p>
            <w:r>
              <w:t>MADCR-058</w:t>
            </w:r>
          </w:p>
        </w:tc>
        <w:tc>
          <w:tcPr>
            <w:tcW w:type="dxa" w:w="5040"/>
          </w:tcPr>
          <w:p>
            <w:r>
              <w:t>CLOSED — Midtrans MVP behind Provider Adapter</w:t>
            </w:r>
          </w:p>
        </w:tc>
      </w:tr>
      <w:tr>
        <w:tc>
          <w:tcPr>
            <w:tcW w:type="dxa" w:w="5040"/>
          </w:tcPr>
          <w:p>
            <w:r>
              <w:t>MBR-COM-001–013</w:t>
            </w:r>
          </w:p>
        </w:tc>
        <w:tc>
          <w:tcPr>
            <w:tcW w:type="dxa" w:w="5040"/>
          </w:tcPr>
          <w:p>
            <w:r>
              <w:t>OWNER APPROVED / CLOSED — normative commercial BR input</w:t>
            </w:r>
          </w:p>
        </w:tc>
      </w:tr>
      <w:tr>
        <w:tc>
          <w:tcPr>
            <w:tcW w:type="dxa" w:w="5040"/>
          </w:tcPr>
          <w:p>
            <w:r>
              <w:t>AEP3-OD-06</w:t>
            </w:r>
          </w:p>
        </w:tc>
        <w:tc>
          <w:tcPr>
            <w:tcW w:type="dxa" w:w="5040"/>
          </w:tcPr>
          <w:p>
            <w:r>
              <w:t>CLOSED — OPTION B; existing roles + capability permissions + explicit Authority/Scope Binding; no dedicated Issuer role</w:t>
            </w:r>
          </w:p>
        </w:tc>
      </w:tr>
    </w:tbl>
    <w:p>
      <w:pPr>
        <w:spacing w:after="80"/>
      </w:pPr>
      <w:r>
        <w:rPr>
          <w:b w:val="0"/>
          <w:i w:val="0"/>
        </w:rPr>
        <w:t>These closure states are supported by the post-Wave-1 Decision Log append and the 19 August source revalidation. fileciteturn28file0 fileciteturn28file10</w:t>
      </w:r>
    </w:p>
    <w:p>
      <w:pPr>
        <w:pStyle w:val="Heading1"/>
      </w:pPr>
      <w:r>
        <w:t>18. HISTORICAL / PREDECESSOR BOUNDARY</w:t>
      </w:r>
    </w:p>
    <w:p>
      <w:pPr>
        <w:spacing w:after="80"/>
      </w:pPr>
      <w:r>
        <w:rPr>
          <w:b w:val="0"/>
          <w:i w:val="0"/>
        </w:rPr>
        <w:t>The predecessor Technical Decisions v1.6 is preserved as the immediate historical source. Its valid technology architecture and decision consequences remain carried forward. Historical wording that was later superseded is not erased from project history; it is classified as historical/provenance.</w:t>
      </w:r>
    </w:p>
    <w:p>
      <w:pPr>
        <w:spacing w:after="80"/>
      </w:pPr>
      <w:r>
        <w:rPr>
          <w:b w:val="0"/>
          <w:i w:val="0"/>
        </w:rPr>
        <w:t>Material predecessor states that are explicitly superseded include: MADCR-058 OPEN/vendor research → CLOSED Midtrans MVP; AEP4-OD-08 OPEN/DEFERRED → CLOSED no failover; AEP3-OD-03 OPEN technical residual → CLOSED reuse existing audit/history; MBR-COM-001–013 evidence gap → OWNER APPROVED/CLOSED.</w:t>
      </w:r>
    </w:p>
    <w:p>
      <w:pPr>
        <w:spacing w:after="80"/>
      </w:pPr>
      <w:r>
        <w:rPr>
          <w:b w:val="0"/>
          <w:i w:val="0"/>
        </w:rPr>
        <w:t>This follows the governance rule that historical documents remain provenance and later current-canonical closure governs current state. fileciteturn28file0</w:t>
      </w:r>
    </w:p>
    <w:p>
      <w:pPr>
        <w:pStyle w:val="Heading1"/>
      </w:pPr>
      <w:r>
        <w:t>19. SOURCE BASIS</w:t>
      </w:r>
    </w:p>
    <w:p>
      <w:pPr>
        <w:pStyle w:val="ListBullet"/>
        <w:spacing w:after="40"/>
      </w:pPr>
      <w:r>
        <w:t>W4-02A.6 Baseline Execution Prompt v1.1 — Full Consolidation + Mandatory Carry-Forward Audit. fileciteturn24file0</w:t>
      </w:r>
    </w:p>
    <w:p>
      <w:pPr>
        <w:pStyle w:val="ListBullet"/>
        <w:spacing w:after="40"/>
      </w:pPr>
      <w:r>
        <w:t>W4-02A.6.0 Base Track v1.1 — 37-step serial ordering lock. fileciteturn24file1</w:t>
      </w:r>
    </w:p>
    <w:p>
      <w:pPr>
        <w:pStyle w:val="ListBullet"/>
        <w:spacing w:after="40"/>
      </w:pPr>
      <w:r>
        <w:t>Project Constitution v1.17 current consolidated.</w:t>
      </w:r>
    </w:p>
    <w:p>
      <w:pPr>
        <w:pStyle w:val="ListBullet"/>
        <w:spacing w:after="40"/>
      </w:pPr>
      <w:r>
        <w:t>Governance Register v1.16 current consolidated.</w:t>
      </w:r>
    </w:p>
    <w:p>
      <w:pPr>
        <w:pStyle w:val="ListBullet"/>
        <w:spacing w:after="40"/>
      </w:pPr>
      <w:r>
        <w:t>Decision Log v1.0 current initial consolidated.</w:t>
      </w:r>
    </w:p>
    <w:p>
      <w:pPr>
        <w:pStyle w:val="ListBullet"/>
        <w:spacing w:after="40"/>
      </w:pPr>
      <w:r>
        <w:t>Changelog v1.0 current initial consolidated.</w:t>
      </w:r>
    </w:p>
    <w:p>
      <w:pPr>
        <w:pStyle w:val="ListBullet"/>
        <w:spacing w:after="40"/>
      </w:pPr>
      <w:r>
        <w:t>System Architecture v1.9 current consolidated (STEP09-B.1 PASS).</w:t>
      </w:r>
    </w:p>
    <w:p>
      <w:pPr>
        <w:pStyle w:val="ListBullet"/>
        <w:spacing w:after="40"/>
      </w:pPr>
      <w:r>
        <w:t>Technical Decisions v1.6 current canonical predecessor/source being synchronized by STEP09-C.</w:t>
      </w:r>
    </w:p>
    <w:p>
      <w:pPr>
        <w:pStyle w:val="ListBullet"/>
        <w:spacing w:after="40"/>
      </w:pPr>
      <w:r>
        <w:t>Technical Decisions v1.6 Decision Closure Sync R1. fileciteturn30file11</w:t>
      </w:r>
    </w:p>
    <w:p>
      <w:pPr>
        <w:pStyle w:val="ListBullet"/>
        <w:spacing w:after="40"/>
      </w:pPr>
      <w:r>
        <w:t>W4-02A.5R Source Update Revalidation v1.1. fileciteturn28file10</w:t>
      </w:r>
    </w:p>
    <w:p>
      <w:pPr>
        <w:pStyle w:val="ListBullet"/>
        <w:spacing w:after="40"/>
      </w:pPr>
      <w:r>
        <w:t>Post-Wave-1 Decision Log closure append. fileciteturn28file0</w:t>
      </w:r>
    </w:p>
    <w:p>
      <w:pPr>
        <w:pStyle w:val="ListBullet"/>
        <w:spacing w:after="40"/>
      </w:pPr>
      <w:r>
        <w:t>Current ERD v2.0 and downstream Wave 3 technical evidence as dependency evidence only.</w:t>
      </w:r>
    </w:p>
    <w:p>
      <w:pPr>
        <w:pStyle w:val="ListBullet"/>
        <w:spacing w:after="40"/>
      </w:pPr>
      <w:r>
        <w:t>Master BR-001–BR-151 and approved Commercial BR closure.</w:t>
      </w:r>
    </w:p>
    <w:p>
      <w:pPr>
        <w:pStyle w:val="ListBullet"/>
        <w:spacing w:after="40"/>
      </w:pPr>
      <w:r>
        <w:t>AEP #1–#4 / MAEP / Cross-AEP technology consequences.</w:t>
      </w:r>
    </w:p>
    <w:p>
      <w:pPr>
        <w:pStyle w:val="ListBullet"/>
        <w:spacing w:after="40"/>
      </w:pPr>
      <w:r>
        <w:t>W4-01E frozen physical design and W4-02 executable physical baseline.</w:t>
      </w:r>
    </w:p>
    <w:p>
      <w:pPr>
        <w:pStyle w:val="Heading1"/>
      </w:pPr>
      <w:r>
        <w:t>20. CARRY-FORWARD AUDIT — W4-02A.6.6</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Audit field</w:t>
            </w:r>
          </w:p>
        </w:tc>
        <w:tc>
          <w:tcPr>
            <w:tcW w:type="dxa" w:w="5040"/>
            <w:shd w:fill="D9EAF7"/>
          </w:tcPr>
          <w:p>
            <w:r>
              <w:t>Result</w:t>
            </w:r>
          </w:p>
        </w:tc>
      </w:tr>
      <w:tr>
        <w:tc>
          <w:tcPr>
            <w:tcW w:type="dxa" w:w="5040"/>
          </w:tcPr>
          <w:p>
            <w:r>
              <w:t>Predecessor artifact</w:t>
            </w:r>
          </w:p>
        </w:tc>
        <w:tc>
          <w:tcPr>
            <w:tcW w:type="dxa" w:w="5040"/>
          </w:tcPr>
          <w:p>
            <w:r>
              <w:t>RUMAHAGEN_TECHNICAL-DECISIONS_v1.6_CURRENT_CANONICAL_CONSOLIDATED</w:t>
            </w:r>
          </w:p>
        </w:tc>
      </w:tr>
      <w:tr>
        <w:tc>
          <w:tcPr>
            <w:tcW w:type="dxa" w:w="5040"/>
          </w:tcPr>
          <w:p>
            <w:r>
              <w:t>New artifact</w:t>
            </w:r>
          </w:p>
        </w:tc>
        <w:tc>
          <w:tcPr>
            <w:tcW w:type="dxa" w:w="5040"/>
          </w:tcPr>
          <w:p>
            <w:r>
              <w:t>RUMAHAGEN_W4-02A.6.6_TECHNICAL_DECISIONS_FULL_CONSOLIDATED_v1.6</w:t>
            </w:r>
          </w:p>
        </w:tc>
      </w:tr>
      <w:tr>
        <w:tc>
          <w:tcPr>
            <w:tcW w:type="dxa" w:w="5040"/>
          </w:tcPr>
          <w:p>
            <w:r>
              <w:t>Formal version</w:t>
            </w:r>
          </w:p>
        </w:tc>
        <w:tc>
          <w:tcPr>
            <w:tcW w:type="dxa" w:w="5040"/>
          </w:tcPr>
          <w:p>
            <w:r>
              <w:t>v1.6 retained; synchronization revision = W4-02A.6.6</w:t>
            </w:r>
          </w:p>
        </w:tc>
      </w:tr>
      <w:tr>
        <w:tc>
          <w:tcPr>
            <w:tcW w:type="dxa" w:w="5040"/>
          </w:tcPr>
          <w:p>
            <w:r>
              <w:t>Predecessor content inventory</w:t>
            </w:r>
          </w:p>
        </w:tc>
        <w:tc>
          <w:tcPr>
            <w:tcW w:type="dxa" w:w="5040"/>
          </w:tcPr>
          <w:p>
            <w:r>
              <w:t>Sections 1–21: purpose, authority, consolidation/provenance, stack, ADRs, Commercial/Payment, Learning Economy, Learning Session, Awarding, Authorization, Organization/Commercial/Listing, Batch 3–6, BR treatment, technology state model, implementation boundary, residuals, re-audit/gate, next-step/canonicality declaration</w:t>
            </w:r>
          </w:p>
        </w:tc>
      </w:tr>
      <w:tr>
        <w:tc>
          <w:tcPr>
            <w:tcW w:type="dxa" w:w="5040"/>
          </w:tcPr>
          <w:p>
            <w:r>
              <w:t>CARRY FORWARD</w:t>
            </w:r>
          </w:p>
        </w:tc>
        <w:tc>
          <w:tcPr>
            <w:tcW w:type="dxa" w:w="5040"/>
          </w:tcPr>
          <w:p>
            <w:r>
              <w:t>All valid predecessor technology stack, ADR, domain boundary, Learning, Session, Awarding, Authorization, Organization, Batch, BR treatment, state-model and implementation-boundary content</w:t>
            </w:r>
          </w:p>
        </w:tc>
      </w:tr>
      <w:tr>
        <w:tc>
          <w:tcPr>
            <w:tcW w:type="dxa" w:w="5040"/>
          </w:tcPr>
          <w:p>
            <w:r>
              <w:t>UPDATE</w:t>
            </w:r>
          </w:p>
        </w:tc>
        <w:tc>
          <w:tcPr>
            <w:tcW w:type="dxa" w:w="5040"/>
          </w:tcPr>
          <w:p>
            <w:r>
              <w:t>Current Constitution v1.17 / Governance v1.16 / Architecture v1.9; current closure set; Midtrans MVP; AEP3-OD-03 closed; AEP4-OD-08 closed; MBR-COM-001–013 Owner-approved/closed; current downstream dependency boundary</w:t>
            </w:r>
          </w:p>
        </w:tc>
      </w:tr>
      <w:tr>
        <w:tc>
          <w:tcPr>
            <w:tcW w:type="dxa" w:w="5040"/>
          </w:tcPr>
          <w:p>
            <w:r>
              <w:t>SUPERSEDE</w:t>
            </w:r>
          </w:p>
        </w:tc>
        <w:tc>
          <w:tcPr>
            <w:tcW w:type="dxa" w:w="5040"/>
          </w:tcPr>
          <w:p>
            <w:r>
              <w:t>Only stale current-state classifications that conflict with later governing closure; historical meaning preserved as provenance</w:t>
            </w:r>
          </w:p>
        </w:tc>
      </w:tr>
      <w:tr>
        <w:tc>
          <w:tcPr>
            <w:tcW w:type="dxa" w:w="5040"/>
          </w:tcPr>
          <w:p>
            <w:r>
              <w:t>HISTORICAL / PROVENANCE</w:t>
            </w:r>
          </w:p>
        </w:tc>
        <w:tc>
          <w:tcPr>
            <w:tcW w:type="dxa" w:w="5040"/>
          </w:tcPr>
          <w:p>
            <w:r>
              <w:t>Prior candidate/addendum/revision states and predecessor current-state wording</w:t>
            </w:r>
          </w:p>
        </w:tc>
      </w:tr>
      <w:tr>
        <w:tc>
          <w:tcPr>
            <w:tcW w:type="dxa" w:w="5040"/>
          </w:tcPr>
          <w:p>
            <w:r>
              <w:t>REMOVED</w:t>
            </w:r>
          </w:p>
        </w:tc>
        <w:tc>
          <w:tcPr>
            <w:tcW w:type="dxa" w:w="5040"/>
          </w:tcPr>
          <w:p>
            <w:r>
              <w:t>0 valid predecessor technology content removed</w:t>
            </w:r>
          </w:p>
        </w:tc>
      </w:tr>
      <w:tr>
        <w:tc>
          <w:tcPr>
            <w:tcW w:type="dxa" w:w="5040"/>
          </w:tcPr>
          <w:p>
            <w:r>
              <w:t>Missing valid content</w:t>
            </w:r>
          </w:p>
        </w:tc>
        <w:tc>
          <w:tcPr>
            <w:tcW w:type="dxa" w:w="5040"/>
          </w:tcPr>
          <w:p>
            <w:r>
              <w:t>0 identified</w:t>
            </w:r>
          </w:p>
        </w:tc>
      </w:tr>
      <w:tr>
        <w:tc>
          <w:tcPr>
            <w:tcW w:type="dxa" w:w="5040"/>
          </w:tcPr>
          <w:p>
            <w:r>
              <w:t>Untraced new substantive technology decision</w:t>
            </w:r>
          </w:p>
        </w:tc>
        <w:tc>
          <w:tcPr>
            <w:tcW w:type="dxa" w:w="5040"/>
          </w:tcPr>
          <w:p>
            <w:r>
              <w:t>0</w:t>
            </w:r>
          </w:p>
        </w:tc>
      </w:tr>
      <w:tr>
        <w:tc>
          <w:tcPr>
            <w:tcW w:type="dxa" w:w="5040"/>
          </w:tcPr>
          <w:p>
            <w:r>
              <w:t>Material authority conflict</w:t>
            </w:r>
          </w:p>
        </w:tc>
        <w:tc>
          <w:tcPr>
            <w:tcW w:type="dxa" w:w="5040"/>
          </w:tcPr>
          <w:p>
            <w:r>
              <w:t>0</w:t>
            </w:r>
          </w:p>
        </w:tc>
      </w:tr>
      <w:tr>
        <w:tc>
          <w:tcPr>
            <w:tcW w:type="dxa" w:w="5040"/>
          </w:tcPr>
          <w:p>
            <w:r>
              <w:t>Owner decision required</w:t>
            </w:r>
          </w:p>
        </w:tc>
        <w:tc>
          <w:tcPr>
            <w:tcW w:type="dxa" w:w="5040"/>
          </w:tcPr>
          <w:p>
            <w:r>
              <w:t>0</w:t>
            </w:r>
          </w:p>
        </w:tc>
      </w:tr>
      <w:tr>
        <w:tc>
          <w:tcPr>
            <w:tcW w:type="dxa" w:w="5040"/>
          </w:tcPr>
          <w:p>
            <w:r>
              <w:t>Audit result</w:t>
            </w:r>
          </w:p>
        </w:tc>
        <w:tc>
          <w:tcPr>
            <w:tcW w:type="dxa" w:w="5040"/>
          </w:tcPr>
          <w:p>
            <w:r>
              <w:t>PASS</w:t>
            </w:r>
          </w:p>
        </w:tc>
      </w:tr>
    </w:tbl>
    <w:p>
      <w:pPr>
        <w:spacing w:after="80"/>
      </w:pPr>
      <w:r>
        <w:rPr>
          <w:b w:val="0"/>
          <w:i w:val="0"/>
        </w:rPr>
        <w:t>Mandatory rule applied: no patch was created. The active artifact was rebuilt as a complete current source and the carry-forward audit was performed before the GREEN gate. fileciteturn24file0</w:t>
      </w:r>
    </w:p>
    <w:p>
      <w:pPr>
        <w:pStyle w:val="Heading1"/>
      </w:pPr>
      <w:r>
        <w:t>21. INTERNAL RECONCILIATION / GREEN GATE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Gate criterion</w:t>
            </w:r>
          </w:p>
        </w:tc>
        <w:tc>
          <w:tcPr>
            <w:tcW w:type="dxa" w:w="5040"/>
            <w:shd w:fill="D9EAF7"/>
          </w:tcPr>
          <w:p>
            <w:r>
              <w:t>Result</w:t>
            </w:r>
          </w:p>
        </w:tc>
      </w:tr>
      <w:tr>
        <w:tc>
          <w:tcPr>
            <w:tcW w:type="dxa" w:w="5040"/>
          </w:tcPr>
          <w:p>
            <w:r>
              <w:t>Full predecessor content preserved</w:t>
            </w:r>
          </w:p>
        </w:tc>
        <w:tc>
          <w:tcPr>
            <w:tcW w:type="dxa" w:w="5040"/>
          </w:tcPr>
          <w:p>
            <w:r>
              <w:t>GREEN</w:t>
            </w:r>
          </w:p>
        </w:tc>
      </w:tr>
      <w:tr>
        <w:tc>
          <w:tcPr>
            <w:tcW w:type="dxa" w:w="5040"/>
          </w:tcPr>
          <w:p>
            <w:r>
              <w:t>Current technology stack preserved</w:t>
            </w:r>
          </w:p>
        </w:tc>
        <w:tc>
          <w:tcPr>
            <w:tcW w:type="dxa" w:w="5040"/>
          </w:tcPr>
          <w:p>
            <w:r>
              <w:t>GREEN</w:t>
            </w:r>
          </w:p>
        </w:tc>
      </w:tr>
      <w:tr>
        <w:tc>
          <w:tcPr>
            <w:tcW w:type="dxa" w:w="5040"/>
          </w:tcPr>
          <w:p>
            <w:r>
              <w:t>Approved ADRs preserved</w:t>
            </w:r>
          </w:p>
        </w:tc>
        <w:tc>
          <w:tcPr>
            <w:tcW w:type="dxa" w:w="5040"/>
          </w:tcPr>
          <w:p>
            <w:r>
              <w:t>GREEN</w:t>
            </w:r>
          </w:p>
        </w:tc>
      </w:tr>
      <w:tr>
        <w:tc>
          <w:tcPr>
            <w:tcW w:type="dxa" w:w="5040"/>
          </w:tcPr>
          <w:p>
            <w:r>
              <w:t>Commercial/Payment synchronized</w:t>
            </w:r>
          </w:p>
        </w:tc>
        <w:tc>
          <w:tcPr>
            <w:tcW w:type="dxa" w:w="5040"/>
          </w:tcPr>
          <w:p>
            <w:r>
              <w:t>GREEN</w:t>
            </w:r>
          </w:p>
        </w:tc>
      </w:tr>
      <w:tr>
        <w:tc>
          <w:tcPr>
            <w:tcW w:type="dxa" w:w="5040"/>
          </w:tcPr>
          <w:p>
            <w:r>
              <w:t>Learning Economy synchronized</w:t>
            </w:r>
          </w:p>
        </w:tc>
        <w:tc>
          <w:tcPr>
            <w:tcW w:type="dxa" w:w="5040"/>
          </w:tcPr>
          <w:p>
            <w:r>
              <w:t>GREEN</w:t>
            </w:r>
          </w:p>
        </w:tc>
      </w:tr>
      <w:tr>
        <w:tc>
          <w:tcPr>
            <w:tcW w:type="dxa" w:w="5040"/>
          </w:tcPr>
          <w:p>
            <w:r>
              <w:t>Learning Session synchronized</w:t>
            </w:r>
          </w:p>
        </w:tc>
        <w:tc>
          <w:tcPr>
            <w:tcW w:type="dxa" w:w="5040"/>
          </w:tcPr>
          <w:p>
            <w:r>
              <w:t>GREEN</w:t>
            </w:r>
          </w:p>
        </w:tc>
      </w:tr>
      <w:tr>
        <w:tc>
          <w:tcPr>
            <w:tcW w:type="dxa" w:w="5040"/>
          </w:tcPr>
          <w:p>
            <w:r>
              <w:t>Awarding synchronized</w:t>
            </w:r>
          </w:p>
        </w:tc>
        <w:tc>
          <w:tcPr>
            <w:tcW w:type="dxa" w:w="5040"/>
          </w:tcPr>
          <w:p>
            <w:r>
              <w:t>GREEN</w:t>
            </w:r>
          </w:p>
        </w:tc>
      </w:tr>
      <w:tr>
        <w:tc>
          <w:tcPr>
            <w:tcW w:type="dxa" w:w="5040"/>
          </w:tcPr>
          <w:p>
            <w:r>
              <w:t>Authorization synchronized</w:t>
            </w:r>
          </w:p>
        </w:tc>
        <w:tc>
          <w:tcPr>
            <w:tcW w:type="dxa" w:w="5040"/>
          </w:tcPr>
          <w:p>
            <w:r>
              <w:t>GREEN</w:t>
            </w:r>
          </w:p>
        </w:tc>
      </w:tr>
      <w:tr>
        <w:tc>
          <w:tcPr>
            <w:tcW w:type="dxa" w:w="5040"/>
          </w:tcPr>
          <w:p>
            <w:r>
              <w:t>Current closure propagation</w:t>
            </w:r>
          </w:p>
        </w:tc>
        <w:tc>
          <w:tcPr>
            <w:tcW w:type="dxa" w:w="5040"/>
          </w:tcPr>
          <w:p>
            <w:r>
              <w:t>GREEN</w:t>
            </w:r>
          </w:p>
        </w:tc>
      </w:tr>
      <w:tr>
        <w:tc>
          <w:tcPr>
            <w:tcW w:type="dxa" w:w="5040"/>
          </w:tcPr>
          <w:p>
            <w:r>
              <w:t>Historical/provenance boundary explicit</w:t>
            </w:r>
          </w:p>
        </w:tc>
        <w:tc>
          <w:tcPr>
            <w:tcW w:type="dxa" w:w="5040"/>
          </w:tcPr>
          <w:p>
            <w:r>
              <w:t>GREEN</w:t>
            </w:r>
          </w:p>
        </w:tc>
      </w:tr>
      <w:tr>
        <w:tc>
          <w:tcPr>
            <w:tcW w:type="dxa" w:w="5040"/>
          </w:tcPr>
          <w:p>
            <w:r>
              <w:t>No physical implementation authorization</w:t>
            </w:r>
          </w:p>
        </w:tc>
        <w:tc>
          <w:tcPr>
            <w:tcW w:type="dxa" w:w="5040"/>
          </w:tcPr>
          <w:p>
            <w:r>
              <w:t>GREEN</w:t>
            </w:r>
          </w:p>
        </w:tc>
      </w:tr>
      <w:tr>
        <w:tc>
          <w:tcPr>
            <w:tcW w:type="dxa" w:w="5040"/>
          </w:tcPr>
          <w:p>
            <w:r>
              <w:t>W4-01E / W4-02 authority preserved</w:t>
            </w:r>
          </w:p>
        </w:tc>
        <w:tc>
          <w:tcPr>
            <w:tcW w:type="dxa" w:w="5040"/>
          </w:tcPr>
          <w:p>
            <w:r>
              <w:t>GREEN</w:t>
            </w:r>
          </w:p>
        </w:tc>
      </w:tr>
      <w:tr>
        <w:tc>
          <w:tcPr>
            <w:tcW w:type="dxa" w:w="5040"/>
          </w:tcPr>
          <w:p>
            <w:r>
              <w:t>No unresolved Owner decision</w:t>
            </w:r>
          </w:p>
        </w:tc>
        <w:tc>
          <w:tcPr>
            <w:tcW w:type="dxa" w:w="5040"/>
          </w:tcPr>
          <w:p>
            <w:r>
              <w:t>GREEN</w:t>
            </w:r>
          </w:p>
        </w:tc>
      </w:tr>
      <w:tr>
        <w:tc>
          <w:tcPr>
            <w:tcW w:type="dxa" w:w="5040"/>
          </w:tcPr>
          <w:p>
            <w:r>
              <w:t>Carry-Forward Audit</w:t>
            </w:r>
          </w:p>
        </w:tc>
        <w:tc>
          <w:tcPr>
            <w:tcW w:type="dxa" w:w="5040"/>
          </w:tcPr>
          <w:p>
            <w:r>
              <w:t>PASS</w:t>
            </w:r>
          </w:p>
        </w:tc>
      </w:tr>
    </w:tbl>
    <w:p>
      <w:pPr>
        <w:spacing w:after="80"/>
      </w:pPr>
      <w:r>
        <w:rPr>
          <w:b/>
          <w:i w:val="0"/>
        </w:rPr>
        <w:t>STEP STATUS = COMPLETE / GREEN</w:t>
      </w:r>
    </w:p>
    <w:p>
      <w:pPr>
        <w:spacing w:after="80"/>
      </w:pPr>
      <w:r>
        <w:rPr>
          <w:b/>
          <w:i w:val="0"/>
        </w:rPr>
        <w:t>TECHNICAL DECISIONS v1.6 = CURRENT CANONICAL CONSOLIDATED — W4-02A.6.6 SYNCHRONIZED</w:t>
      </w:r>
    </w:p>
    <w:p>
      <w:pPr>
        <w:pStyle w:val="Normal"/>
      </w:pPr>
      <w:r>
        <w:rPr/>
        <w:t>Re-entry gate: PASS WITH CONTROLLED PROVENANCE RESIDUAL. Remaining controlled residuals are downstream implementation/provider/runtime matters already classified in this Technical Decisions artifact and are not reopened by this correction.</w:t>
      </w:r>
    </w:p>
    <w:p>
      <w:pPr>
        <w:pStyle w:val="Normal"/>
      </w:pPr>
      <w:r>
        <w:rPr/>
        <w:t>The correction does not change the formal Technical Decisions version. Formal version remains v1.6; this artifact records a STEP09-C synchronization re-entry/full-version regeneration.</w:t>
      </w:r>
    </w:p>
    <w:p>
      <w:pPr>
        <w:pStyle w:val="Normal"/>
      </w:pPr>
      <w:r>
        <w:rPr/>
        <w:t>The stale currentness wording referring to Constitution v1.14 has been corrected to Constitution v1.17. Historical/provenance meaning remains preserved; only the current-state reference was corrected.</w:t>
      </w:r>
    </w:p>
    <w:p>
      <w:pPr>
        <w:pStyle w:val="Normal"/>
      </w:pPr>
      <w:r>
        <w:rPr/>
        <w:t>AEP3-OD-06 — CLOSED / OPTION B is now explicitly synchronized: existing roles + capability permissions + explicit Authority/Scope Binding; no dedicated Issuer role. This decision is treated as an authorization/awarding boundary consequence and does not create a new role, capability, subsystem, or implementation authorization.</w:t>
      </w:r>
    </w:p>
    <w:p>
      <w:pPr>
        <w:pStyle w:val="Normal"/>
      </w:pPr>
      <w:r>
        <w:rPr/>
        <w:t>This full-version synchronization re-entry incorporates the findings of the STEP09-C re-audit. It is a regenerated complete Technical Decisions artifact, not a patch, append-only delta, or separate addendum.</w:t>
      </w:r>
    </w:p>
    <w:p>
      <w:pPr>
        <w:pStyle w:val="Heading1"/>
      </w:pPr>
      <w:r>
        <w:rPr>
          <w:b/>
        </w:rPr>
        <w:t>24. STEP09-C CONTROLLED RE-ENTRY SYNCHRONIZATION</w:t>
      </w:r>
    </w:p>
    <w:p>
      <w:pPr>
        <w:pStyle w:val="Heading1"/>
      </w:pPr>
      <w:r>
        <w:t>22. CANONICALITY DECLARATION</w:t>
      </w:r>
    </w:p>
    <w:p>
      <w:pPr>
        <w:spacing w:after="80"/>
      </w:pPr>
      <w:r>
        <w:rPr>
          <w:b w:val="0"/>
          <w:i w:val="0"/>
        </w:rPr>
        <w:t>Current authority: TECHNICAL DECISIONS v1.6 — CURRENT CANONICAL CONSOLIDATED.</w:t>
      </w:r>
    </w:p>
    <w:p>
      <w:pPr>
        <w:pStyle w:val="ListBullet"/>
        <w:spacing w:after="40"/>
      </w:pPr>
      <w:r>
        <w:t>Legacy Technology Decisions baseline remains historical/provenance.</w:t>
      </w:r>
    </w:p>
    <w:p>
      <w:pPr>
        <w:pStyle w:val="ListBullet"/>
        <w:spacing w:after="40"/>
      </w:pPr>
      <w:r>
        <w:t>P08-B.3 Step 2 candidate/addendum remain historical/provenance.</w:t>
      </w:r>
    </w:p>
    <w:p>
      <w:pPr>
        <w:pStyle w:val="ListBullet"/>
        <w:spacing w:after="40"/>
      </w:pPr>
      <w:r>
        <w:t>Decision Closure Sync R1 is absorbed into this current state.</w:t>
      </w:r>
    </w:p>
    <w:p>
      <w:pPr>
        <w:pStyle w:val="ListBullet"/>
        <w:spacing w:after="40"/>
      </w:pPr>
      <w:r>
        <w:t>Current downstream implementers must consume this current Technical Decisions state, not historical candidate/addendum files.</w:t>
      </w:r>
    </w:p>
    <w:p>
      <w:pPr>
        <w:pStyle w:val="ListBullet"/>
        <w:spacing w:after="40"/>
      </w:pPr>
      <w:r>
        <w:t>No physical implementation is authorized by this declaration.</w:t>
      </w:r>
    </w:p>
    <w:p>
      <w:pPr>
        <w:ind w:left="259"/>
      </w:pPr>
      <w:r>
        <w:rPr>
          <w:rFonts w:ascii="Consolas" w:hAnsi="Consolas"/>
          <w:sz w:val="16"/>
        </w:rPr>
        <w:t>Current Technical Decisions</w:t>
        <w:br/>
        <w:t xml:space="preserve">        ↓</w:t>
        <w:br/>
        <w:t>ERD / Database Dictionary / Database Schema</w:t>
        <w:br/>
        <w:t xml:space="preserve">        ↓</w:t>
        <w:br/>
        <w:t>API</w:t>
        <w:br/>
        <w:t xml:space="preserve">        ↓</w:t>
        <w:br/>
        <w:t>RBAC / Permission / RLS</w:t>
        <w:br/>
        <w:t xml:space="preserve">        ↓</w:t>
        <w:br/>
        <w:t>Physical execution gates</w:t>
        <w:br/>
        <w:t xml:space="preserve">        ↓</w:t>
        <w:br/>
        <w:t>Runtime verification</w:t>
      </w:r>
    </w:p>
    <w:p>
      <w:pPr>
        <w:pStyle w:val="Heading1"/>
      </w:pPr>
      <w:r>
        <w:t>23. NEXT STEP</w:t>
      </w:r>
    </w:p>
    <w:p>
      <w:pPr>
        <w:spacing w:after="80"/>
      </w:pPr>
      <w:r>
        <w:t>NEXT STEP = W4-02A.6.7 — DEPENDENCY MANIFEST FULL CONSOLIDATION (STEP09-D).</w:t>
      </w:r>
    </w:p>
    <w:p>
      <w:pPr>
        <w:spacing w:after="80"/>
      </w:pPr>
      <w:r>
        <w:rPr>
          <w:b w:val="0"/>
          <w:i w:val="0"/>
        </w:rPr>
        <w:t>Execution stops here. No work from W4-02A.6.7 or later is performed in this artifact.</w:t>
      </w:r>
    </w:p>
    <w:p>
      <w:pPr>
        <w:spacing w:after="80"/>
        <w:jc w:val="center"/>
      </w:pPr>
      <w:r>
        <w:rPr>
          <w:b/>
          <w:i w:val="0"/>
        </w:rPr>
        <w:t>END OF RUMAHAGEN — W4-02A.6.6 TECHNICAL DECISIONS FULL CONSOLIDATION</w:t>
      </w:r>
    </w:p>
    <w:p>
      <w:r>
        <w:rPr>
          <w:b/>
          <w:sz w:val="28"/>
        </w:rPr>
        <w:t>24. STEP09-C — TECHNICAL DECISIONS SYNCHRONIZATION</w:t>
      </w:r>
    </w:p>
    <w:p>
      <w:r>
        <w:t>STEP09-C synchronizes Technical Decisions from approved semantic authority, Project Constitution v1.17, System Architecture v1.9 / STEP09-B.1 PASS, existing Technical Decisions v1.6, STEP08 Business Rules, M01–M15 reconciliation evidence, and controlled provenance. This is a full-version synchronization, not a patch. No technical decision is invented merely to close a gap.</w:t>
      </w:r>
    </w:p>
    <w:p>
      <w:r>
        <w:t>Execution order: Approved semantic authority → Project Constitution v1.17 → System Architecture v1.9 → existing Technical Decisions v1.6 → STEP09-C synchronization. Core v1.3 remains reference-only and immutable.</w:t>
      </w:r>
    </w:p>
    <w:p>
      <w:r>
        <w:rPr>
          <w:b/>
          <w:sz w:val="24"/>
        </w:rPr>
        <w:t>24.1 INPUT AUTHORITY / SOURCE INTEGRITY</w:t>
      </w:r>
    </w:p>
    <w:p>
      <w:pPr>
        <w:pStyle w:val="ListBullet"/>
      </w:pPr>
      <w:r>
        <w:t>Primary architecture constraint: System Architecture v1.9 / STEP09-B.1 controlled re-entry result = PASS.</w:t>
      </w:r>
    </w:p>
    <w:p>
      <w:pPr>
        <w:pStyle w:val="ListBullet"/>
      </w:pPr>
      <w:r>
        <w:t>Governance/engineering constraint: Project Constitution v1.17 / STEP09-A2 final reconciled.</w:t>
      </w:r>
    </w:p>
    <w:p>
      <w:pPr>
        <w:pStyle w:val="ListBullet"/>
      </w:pPr>
      <w:r>
        <w:t>Existing technology-consequence baseline: Technical Decisions v1.6.</w:t>
      </w:r>
    </w:p>
    <w:p>
      <w:pPr>
        <w:pStyle w:val="ListBullet"/>
      </w:pPr>
      <w:r>
        <w:t>Normative semantic/business constraints: Master Business Rules BR-001–BR-151 and STEP08 synchronized baseline.</w:t>
      </w:r>
    </w:p>
    <w:p>
      <w:pPr>
        <w:pStyle w:val="ListBullet"/>
      </w:pPr>
      <w:r>
        <w:t>M01–M15 reconciliation evidence is used for module-specific provenance and approved decision consequences.</w:t>
      </w:r>
    </w:p>
    <w:p>
      <w:pPr>
        <w:pStyle w:val="ListBullet"/>
      </w:pPr>
      <w:r>
        <w:t>Core v1.3 is reference-only; STEP09-C does not modify or promote an Integrated Core v1.4.</w:t>
      </w:r>
    </w:p>
    <w:p>
      <w:pPr>
        <w:pStyle w:val="ListBullet"/>
      </w:pPr>
      <w:r>
        <w:t>STEP09-D remains the owner of Dependency Manifest synchronization; STEP09-C records dependency implications but does not rewrite the manifest.</w:t>
      </w:r>
    </w:p>
    <w:p>
      <w:r>
        <w:rPr>
          <w:b/>
          <w:sz w:val="24"/>
        </w:rPr>
        <w:t>24.2 DECISION INVENTORY / CLASSIFICATION</w:t>
      </w:r>
    </w:p>
    <w:p>
      <w:r>
        <w:t>The complete predecessor Technical Decisions v1.6 content is retained. Each current decision is interpreted using the following controlled classifications: PRESERVE, CONFIRMED, AUGMENT, RECONCILE, NEW-REQUIRED, CONTROLLED, SUPERSEDED, and NO-CHANGE.</w:t>
      </w:r>
    </w:p>
    <w:p>
      <w:pPr>
        <w:pStyle w:val="ListBullet"/>
      </w:pPr>
      <w:r>
        <w:t>PRESERVE — existing decision remains valid and is carried forward.</w:t>
      </w:r>
    </w:p>
    <w:p>
      <w:pPr>
        <w:pStyle w:val="ListBullet"/>
      </w:pPr>
      <w:r>
        <w:t>CONFIRMED — existing decision is reaffirmed by Architecture v1.9.</w:t>
      </w:r>
    </w:p>
    <w:p>
      <w:pPr>
        <w:pStyle w:val="ListBullet"/>
      </w:pPr>
      <w:r>
        <w:t>AUGMENT — existing decision remains valid but receives additional approved architectural consequence.</w:t>
      </w:r>
    </w:p>
    <w:p>
      <w:pPr>
        <w:pStyle w:val="ListBullet"/>
      </w:pPr>
      <w:r>
        <w:t>RECONCILE — contradictory evidence requires explicit resolution before promotion.</w:t>
      </w:r>
    </w:p>
    <w:p>
      <w:pPr>
        <w:pStyle w:val="ListBullet"/>
      </w:pPr>
      <w:r>
        <w:t>NEW-REQUIRED — an architecture consequence indicates a decision gap; this classification does not authorize invention.</w:t>
      </w:r>
    </w:p>
    <w:p>
      <w:pPr>
        <w:pStyle w:val="ListBullet"/>
      </w:pPr>
      <w:r>
        <w:t>CONTROLLED — impact is downstream physical/API/RBAC/RLS/runtime work and is not claimed as implemented.</w:t>
      </w:r>
    </w:p>
    <w:p>
      <w:pPr>
        <w:pStyle w:val="ListBullet"/>
      </w:pPr>
      <w:r>
        <w:t>SUPERSEDED — an older decision state is no longer current but remains historical/provenance.</w:t>
      </w:r>
    </w:p>
    <w:p>
      <w:pPr>
        <w:pStyle w:val="ListBullet"/>
      </w:pPr>
      <w:r>
        <w:t>NO-CHANGE — no synchronization change is required.</w:t>
      </w:r>
    </w:p>
    <w:p>
      <w:r>
        <w:rPr>
          <w:b/>
          <w:sz w:val="24"/>
        </w:rPr>
        <w:t>24.3 LOCKED / APPROVED DECISIONS</w:t>
      </w:r>
    </w:p>
    <w:p>
      <w:pPr>
        <w:pStyle w:val="ListBullet"/>
      </w:pPr>
      <w:r>
        <w:t>M10 remains authorization authority: Role = actor grouping; Role Permission = baseline/default permission matrix; Permission Preset = optional configurable authorization targeted to an existing role and is never a new Role or a capability-creation mechanism.</w:t>
      </w:r>
    </w:p>
    <w:p>
      <w:pPr>
        <w:pStyle w:val="ListBullet"/>
      </w:pPr>
      <w:r>
        <w:t>M03 remains Listing / Refresh Action Authority. M14 commercial entitlement/allowance is an input/eligibility condition and does not replace M03 action authority.</w:t>
      </w:r>
    </w:p>
    <w:p>
      <w:pPr>
        <w:pStyle w:val="ListBullet"/>
      </w:pPr>
      <w:r>
        <w:t>M04 remains Learning semantic/lifecycle authority, including Learning Economy, Learning Session and Partnership Learning. Governed evidence may flow to M15 without transferring Learning authority.</w:t>
      </w:r>
    </w:p>
    <w:p>
      <w:pPr>
        <w:pStyle w:val="ListBullet"/>
      </w:pPr>
      <w:r>
        <w:t>M15 remains Qualification / Evidence / Awarding / Title authority. Qualification evidence is not a redefinition of M04 Learning.</w:t>
      </w:r>
    </w:p>
    <w:p>
      <w:pPr>
        <w:pStyle w:val="ListBullet"/>
      </w:pPr>
      <w:r>
        <w:t>M14 remains commercial authority for Subscription, Add-on, Promotion, Order, Checkout, Payment, Entitlement and Quota. Payment success does not directly grant RBAC authorization.</w:t>
      </w:r>
    </w:p>
    <w:p>
      <w:pPr>
        <w:pStyle w:val="ListBullet"/>
      </w:pPr>
      <w:r>
        <w:t>M11 remains public discovery / SEO / tracking / measurement authority and does not own administrative lifecycle.</w:t>
      </w:r>
    </w:p>
    <w:p>
      <w:pPr>
        <w:pStyle w:val="ListBullet"/>
      </w:pPr>
      <w:r>
        <w:t>M08 remains Dashboard Projection / Notification State projection and communication state; it is not mutation authority.</w:t>
      </w:r>
    </w:p>
    <w:p>
      <w:pPr>
        <w:pStyle w:val="ListBullet"/>
      </w:pPr>
      <w:r>
        <w:t>M09 remains administration/configuration/audit/export authority subject to M10 authorization and domain-owned mutation boundaries.</w:t>
      </w:r>
    </w:p>
    <w:p>
      <w:pPr>
        <w:pStyle w:val="ListBullet"/>
      </w:pPr>
      <w:r>
        <w:t>M13 remains Provider Catalogue / BYOK governance; provider configuration cannot bypass M10.</w:t>
      </w:r>
    </w:p>
    <w:p>
      <w:pPr>
        <w:pStyle w:val="ListBullet"/>
      </w:pPr>
      <w:r>
        <w:t>M14 Q01–Q64 remain M14 provenance, including Q40, Q54, Q61 and Q62. Q65–Q66 lineage remains a controlled provenance residual and is not silently reassigned or promoted into M15.</w:t>
      </w:r>
    </w:p>
    <w:p>
      <w:r>
        <w:rPr>
          <w:b/>
          <w:sz w:val="24"/>
        </w:rPr>
        <w:t>24.4 ARCHITECTURE ↔ TECHNICAL DECISION DEPENDENCY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Architecture area</w:t>
            </w:r>
          </w:p>
        </w:tc>
        <w:tc>
          <w:tcPr>
            <w:tcW w:type="dxa" w:w="2016"/>
          </w:tcPr>
          <w:p>
            <w:r>
              <w:t>Technical Decision consequence</w:t>
            </w:r>
          </w:p>
        </w:tc>
        <w:tc>
          <w:tcPr>
            <w:tcW w:type="dxa" w:w="2016"/>
          </w:tcPr>
          <w:p>
            <w:r>
              <w:t>Classification</w:t>
            </w:r>
          </w:p>
        </w:tc>
        <w:tc>
          <w:tcPr>
            <w:tcW w:type="dxa" w:w="2016"/>
          </w:tcPr>
          <w:p>
            <w:r>
              <w:t>Authority</w:t>
            </w:r>
          </w:p>
        </w:tc>
        <w:tc>
          <w:tcPr>
            <w:tcW w:type="dxa" w:w="2016"/>
          </w:tcPr>
          <w:p>
            <w:r>
              <w:t>Downstream dependency</w:t>
            </w:r>
          </w:p>
        </w:tc>
      </w:tr>
      <w:tr>
        <w:tc>
          <w:tcPr>
            <w:tcW w:type="dxa" w:w="2016"/>
          </w:tcPr>
          <w:p>
            <w:r>
              <w:t>M10 Authorization Model</w:t>
            </w:r>
          </w:p>
        </w:tc>
        <w:tc>
          <w:tcPr>
            <w:tcW w:type="dxa" w:w="2016"/>
          </w:tcPr>
          <w:p>
            <w:r>
              <w:t>Authorization remains Capability/Permission/Scope/Condition/Ownership/Organization/RLS governed by M10; Permission Preset cannot create new capability authority. AEP3-OD-06 is CLOSED — OPTION B: use existing roles + capability permissions + explicit Authority/Scope Binding; no dedicated Issuer role.</w:t>
            </w:r>
          </w:p>
        </w:tc>
        <w:tc>
          <w:tcPr>
            <w:tcW w:type="dxa" w:w="2016"/>
          </w:tcPr>
          <w:p>
            <w:r>
              <w:t>CONFIRMED / LOCKED</w:t>
            </w:r>
          </w:p>
        </w:tc>
        <w:tc>
          <w:tcPr>
            <w:tcW w:type="dxa" w:w="2016"/>
          </w:tcPr>
          <w:p>
            <w:r>
              <w:t>M10 + approved governance</w:t>
            </w:r>
          </w:p>
        </w:tc>
        <w:tc>
          <w:tcPr>
            <w:tcW w:type="dxa" w:w="2016"/>
          </w:tcPr>
          <w:p>
            <w:r>
              <w:t>Exact permission IDs / RLS physical implementation</w:t>
            </w:r>
          </w:p>
        </w:tc>
      </w:tr>
      <w:tr>
        <w:tc>
          <w:tcPr>
            <w:tcW w:type="dxa" w:w="2016"/>
          </w:tcPr>
          <w:p>
            <w:r>
              <w:t>M03 Listing / Refresh</w:t>
            </w:r>
          </w:p>
        </w:tc>
        <w:tc>
          <w:tcPr>
            <w:tcW w:type="dxa" w:w="2016"/>
          </w:tcPr>
          <w:p>
            <w:r>
              <w:t>M03 owns Refresh action; M14 allowance is commercial input; M10 owns authorization.</w:t>
            </w:r>
          </w:p>
        </w:tc>
        <w:tc>
          <w:tcPr>
            <w:tcW w:type="dxa" w:w="2016"/>
          </w:tcPr>
          <w:p>
            <w:r>
              <w:t>CONFIRMED / LOCKED</w:t>
            </w:r>
          </w:p>
        </w:tc>
        <w:tc>
          <w:tcPr>
            <w:tcW w:type="dxa" w:w="2016"/>
          </w:tcPr>
          <w:p>
            <w:r>
              <w:t>M03 / M14 / M10</w:t>
            </w:r>
          </w:p>
        </w:tc>
        <w:tc>
          <w:tcPr>
            <w:tcW w:type="dxa" w:w="2016"/>
          </w:tcPr>
          <w:p>
            <w:r>
              <w:t>Downstream API/RBAC/RLS</w:t>
            </w:r>
          </w:p>
        </w:tc>
      </w:tr>
      <w:tr>
        <w:tc>
          <w:tcPr>
            <w:tcW w:type="dxa" w:w="2016"/>
          </w:tcPr>
          <w:p>
            <w:r>
              <w:t>M04 Learning / Learning Economy / Session</w:t>
            </w:r>
          </w:p>
        </w:tc>
        <w:tc>
          <w:tcPr>
            <w:tcW w:type="dxa" w:w="2016"/>
          </w:tcPr>
          <w:p>
            <w:r>
              <w:t>Learning Activity/evidence and LP technology consequences remain subordinate to M04 Learning authority.</w:t>
            </w:r>
          </w:p>
        </w:tc>
        <w:tc>
          <w:tcPr>
            <w:tcW w:type="dxa" w:w="2016"/>
          </w:tcPr>
          <w:p>
            <w:r>
              <w:t>CONFIRMED</w:t>
            </w:r>
          </w:p>
        </w:tc>
        <w:tc>
          <w:tcPr>
            <w:tcW w:type="dxa" w:w="2016"/>
          </w:tcPr>
          <w:p>
            <w:r>
              <w:t>M04 + approved decisions</w:t>
            </w:r>
          </w:p>
        </w:tc>
        <w:tc>
          <w:tcPr>
            <w:tcW w:type="dxa" w:w="2016"/>
          </w:tcPr>
          <w:p>
            <w:r>
              <w:t>Physical ledger/schema/session provider details</w:t>
            </w:r>
          </w:p>
        </w:tc>
      </w:tr>
      <w:tr>
        <w:tc>
          <w:tcPr>
            <w:tcW w:type="dxa" w:w="2016"/>
          </w:tcPr>
          <w:p>
            <w:r>
              <w:t>M05 Event / Calendar / Registration</w:t>
            </w:r>
          </w:p>
        </w:tc>
        <w:tc>
          <w:tcPr>
            <w:tcW w:type="dxa" w:w="2016"/>
          </w:tcPr>
          <w:p>
            <w:r>
              <w:t>Event lifecycle remains M05; projections/notifications/discovery consume authoritative outcomes.</w:t>
            </w:r>
          </w:p>
        </w:tc>
        <w:tc>
          <w:tcPr>
            <w:tcW w:type="dxa" w:w="2016"/>
          </w:tcPr>
          <w:p>
            <w:r>
              <w:t>CONFIRMED</w:t>
            </w:r>
          </w:p>
        </w:tc>
        <w:tc>
          <w:tcPr>
            <w:tcW w:type="dxa" w:w="2016"/>
          </w:tcPr>
          <w:p>
            <w:r>
              <w:t>M05</w:t>
            </w:r>
          </w:p>
        </w:tc>
        <w:tc>
          <w:tcPr>
            <w:tcW w:type="dxa" w:w="2016"/>
          </w:tcPr>
          <w:p>
            <w:r>
              <w:t>M08/M11 downstream contracts</w:t>
            </w:r>
          </w:p>
        </w:tc>
      </w:tr>
      <w:tr>
        <w:tc>
          <w:tcPr>
            <w:tcW w:type="dxa" w:w="2016"/>
          </w:tcPr>
          <w:p>
            <w:r>
              <w:t>M06 Developer / Project / Media / Marketing Kit / Claim</w:t>
            </w:r>
          </w:p>
        </w:tc>
        <w:tc>
          <w:tcPr>
            <w:tcW w:type="dxa" w:w="2016"/>
          </w:tcPr>
          <w:p>
            <w:r>
              <w:t>Developer Project and compatible public fields remain M06-owned; discovery projection remains M11.</w:t>
            </w:r>
          </w:p>
        </w:tc>
        <w:tc>
          <w:tcPr>
            <w:tcW w:type="dxa" w:w="2016"/>
          </w:tcPr>
          <w:p>
            <w:r>
              <w:t>CONFIRMED</w:t>
            </w:r>
          </w:p>
        </w:tc>
        <w:tc>
          <w:tcPr>
            <w:tcW w:type="dxa" w:w="2016"/>
          </w:tcPr>
          <w:p>
            <w:r>
              <w:t>M06 / M11</w:t>
            </w:r>
          </w:p>
        </w:tc>
        <w:tc>
          <w:tcPr>
            <w:tcW w:type="dxa" w:w="2016"/>
          </w:tcPr>
          <w:p>
            <w:r>
              <w:t>API/data representation</w:t>
            </w:r>
          </w:p>
        </w:tc>
      </w:tr>
      <w:tr>
        <w:tc>
          <w:tcPr>
            <w:tcW w:type="dxa" w:w="2016"/>
          </w:tcPr>
          <w:p>
            <w:r>
              <w:t>M08 Projection / Notification</w:t>
            </w:r>
          </w:p>
        </w:tc>
        <w:tc>
          <w:tcPr>
            <w:tcW w:type="dxa" w:w="2016"/>
          </w:tcPr>
          <w:p>
            <w:r>
              <w:t>Projection/notification state consumes domain outcomes and does not mutate source-of-record state.</w:t>
            </w:r>
          </w:p>
        </w:tc>
        <w:tc>
          <w:tcPr>
            <w:tcW w:type="dxa" w:w="2016"/>
          </w:tcPr>
          <w:p>
            <w:r>
              <w:t>CONFIRMED / LOCKED</w:t>
            </w:r>
          </w:p>
        </w:tc>
        <w:tc>
          <w:tcPr>
            <w:tcW w:type="dxa" w:w="2016"/>
          </w:tcPr>
          <w:p>
            <w:r>
              <w:t>M08</w:t>
            </w:r>
          </w:p>
        </w:tc>
        <w:tc>
          <w:tcPr>
            <w:tcW w:type="dxa" w:w="2016"/>
          </w:tcPr>
          <w:p>
            <w:r>
              <w:t>Downstream event/notification implementation</w:t>
            </w:r>
          </w:p>
        </w:tc>
      </w:tr>
      <w:tr>
        <w:tc>
          <w:tcPr>
            <w:tcW w:type="dxa" w:w="2016"/>
          </w:tcPr>
          <w:p>
            <w:r>
              <w:t>M09 Administration</w:t>
            </w:r>
          </w:p>
        </w:tc>
        <w:tc>
          <w:tcPr>
            <w:tcW w:type="dxa" w:w="2016"/>
          </w:tcPr>
          <w:p>
            <w:r>
              <w:t>Configuration/audit/export remain administrative capabilities subject to M10 and domain ownership.</w:t>
            </w:r>
          </w:p>
        </w:tc>
        <w:tc>
          <w:tcPr>
            <w:tcW w:type="dxa" w:w="2016"/>
          </w:tcPr>
          <w:p>
            <w:r>
              <w:t>CONFIRMED / LOCKED</w:t>
            </w:r>
          </w:p>
        </w:tc>
        <w:tc>
          <w:tcPr>
            <w:tcW w:type="dxa" w:w="2016"/>
          </w:tcPr>
          <w:p>
            <w:r>
              <w:t>M09 / M10</w:t>
            </w:r>
          </w:p>
        </w:tc>
        <w:tc>
          <w:tcPr>
            <w:tcW w:type="dxa" w:w="2016"/>
          </w:tcPr>
          <w:p>
            <w:r>
              <w:t>Admin API/RBAC/RLS</w:t>
            </w:r>
          </w:p>
        </w:tc>
      </w:tr>
      <w:tr>
        <w:tc>
          <w:tcPr>
            <w:tcW w:type="dxa" w:w="2016"/>
          </w:tcPr>
          <w:p>
            <w:r>
              <w:t>M11 Public Discovery</w:t>
            </w:r>
          </w:p>
        </w:tc>
        <w:tc>
          <w:tcPr>
            <w:tcW w:type="dxa" w:w="2016"/>
          </w:tcPr>
          <w:p>
            <w:r>
              <w:t>Homepage, Listing, Agent, Organization, Developer/Project, Event, Static Public Content, Announcement/Promotion remain discovery/measurement surfaces.</w:t>
            </w:r>
          </w:p>
        </w:tc>
        <w:tc>
          <w:tcPr>
            <w:tcW w:type="dxa" w:w="2016"/>
          </w:tcPr>
          <w:p>
            <w:r>
              <w:t>CONFIRMED / LOCKED</w:t>
            </w:r>
          </w:p>
        </w:tc>
        <w:tc>
          <w:tcPr>
            <w:tcW w:type="dxa" w:w="2016"/>
          </w:tcPr>
          <w:p>
            <w:r>
              <w:t>M11</w:t>
            </w:r>
          </w:p>
        </w:tc>
        <w:tc>
          <w:tcPr>
            <w:tcW w:type="dxa" w:w="2016"/>
          </w:tcPr>
          <w:p>
            <w:r>
              <w:t>SEO/API/measurement implementation</w:t>
            </w:r>
          </w:p>
        </w:tc>
      </w:tr>
      <w:tr>
        <w:tc>
          <w:tcPr>
            <w:tcW w:type="dxa" w:w="2016"/>
          </w:tcPr>
          <w:p>
            <w:r>
              <w:t>M12 Organization / Membership</w:t>
            </w:r>
          </w:p>
        </w:tc>
        <w:tc>
          <w:tcPr>
            <w:tcW w:type="dxa" w:w="2016"/>
          </w:tcPr>
          <w:p>
            <w:r>
              <w:t>Organization context and membership lifecycle remain distinct from entitlement and authorization.</w:t>
            </w:r>
          </w:p>
        </w:tc>
        <w:tc>
          <w:tcPr>
            <w:tcW w:type="dxa" w:w="2016"/>
          </w:tcPr>
          <w:p>
            <w:r>
              <w:t>CONFIRMED</w:t>
            </w:r>
          </w:p>
        </w:tc>
        <w:tc>
          <w:tcPr>
            <w:tcW w:type="dxa" w:w="2016"/>
          </w:tcPr>
          <w:p>
            <w:r>
              <w:t>M12 / M10 / M14</w:t>
            </w:r>
          </w:p>
        </w:tc>
        <w:tc>
          <w:tcPr>
            <w:tcW w:type="dxa" w:w="2016"/>
          </w:tcPr>
          <w:p>
            <w:r>
              <w:t>Organization-scoped authorization</w:t>
            </w:r>
          </w:p>
        </w:tc>
      </w:tr>
      <w:tr>
        <w:tc>
          <w:tcPr>
            <w:tcW w:type="dxa" w:w="2016"/>
          </w:tcPr>
          <w:p>
            <w:r>
              <w:t>M13 Provider Catalogue / BYOK</w:t>
            </w:r>
          </w:p>
        </w:tc>
        <w:tc>
          <w:tcPr>
            <w:tcW w:type="dxa" w:w="2016"/>
          </w:tcPr>
          <w:p>
            <w:r>
              <w:t>Provider configuration is governed and provider-specific mechanics remain behind provider boundaries.</w:t>
            </w:r>
          </w:p>
        </w:tc>
        <w:tc>
          <w:tcPr>
            <w:tcW w:type="dxa" w:w="2016"/>
          </w:tcPr>
          <w:p>
            <w:r>
              <w:t>CONFIRMED / LOCKED</w:t>
            </w:r>
          </w:p>
        </w:tc>
        <w:tc>
          <w:tcPr>
            <w:tcW w:type="dxa" w:w="2016"/>
          </w:tcPr>
          <w:p>
            <w:r>
              <w:t>M13 / M10</w:t>
            </w:r>
          </w:p>
        </w:tc>
        <w:tc>
          <w:tcPr>
            <w:tcW w:type="dxa" w:w="2016"/>
          </w:tcPr>
          <w:p>
            <w:r>
              <w:t>Provider API/configuration</w:t>
            </w:r>
          </w:p>
        </w:tc>
      </w:tr>
      <w:tr>
        <w:tc>
          <w:tcPr>
            <w:tcW w:type="dxa" w:w="2016"/>
          </w:tcPr>
          <w:p>
            <w:r>
              <w:t>M14 Commercial</w:t>
            </w:r>
          </w:p>
        </w:tc>
        <w:tc>
          <w:tcPr>
            <w:tcW w:type="dxa" w:w="2016"/>
          </w:tcPr>
          <w:p>
            <w:r>
              <w:t>Plan/Add-on/Promotion → Order/Checkout → Payment Verification → Fulfillment → Entitlement → Quota remains M14 commercial lifecycle.</w:t>
            </w:r>
          </w:p>
        </w:tc>
        <w:tc>
          <w:tcPr>
            <w:tcW w:type="dxa" w:w="2016"/>
          </w:tcPr>
          <w:p>
            <w:r>
              <w:t>CONFIRMED / LOCKED</w:t>
            </w:r>
          </w:p>
        </w:tc>
        <w:tc>
          <w:tcPr>
            <w:tcW w:type="dxa" w:w="2016"/>
          </w:tcPr>
          <w:p>
            <w:r>
              <w:t>M14</w:t>
            </w:r>
          </w:p>
        </w:tc>
        <w:tc>
          <w:tcPr>
            <w:tcW w:type="dxa" w:w="2016"/>
          </w:tcPr>
          <w:p>
            <w:r>
              <w:t>Payment/provider/reconciliation implementation</w:t>
            </w:r>
          </w:p>
        </w:tc>
      </w:tr>
      <w:tr>
        <w:tc>
          <w:tcPr>
            <w:tcW w:type="dxa" w:w="2016"/>
          </w:tcPr>
          <w:p>
            <w:r>
              <w:t>M15 Qualification / Awarding</w:t>
            </w:r>
          </w:p>
        </w:tc>
        <w:tc>
          <w:tcPr>
            <w:tcW w:type="dxa" w:w="2016"/>
          </w:tcPr>
          <w:p>
            <w:r>
              <w:t>Qualification/Evidence/Awarding remains separate from Learning authority and commercial payment/entitlement.</w:t>
            </w:r>
          </w:p>
        </w:tc>
        <w:tc>
          <w:tcPr>
            <w:tcW w:type="dxa" w:w="2016"/>
          </w:tcPr>
          <w:p>
            <w:r>
              <w:t>CONFIRMED / LOCKED</w:t>
            </w:r>
          </w:p>
        </w:tc>
        <w:tc>
          <w:tcPr>
            <w:tcW w:type="dxa" w:w="2016"/>
          </w:tcPr>
          <w:p>
            <w:r>
              <w:t>M15 / M04</w:t>
            </w:r>
          </w:p>
        </w:tc>
        <w:tc>
          <w:tcPr>
            <w:tcW w:type="dxa" w:w="2016"/>
          </w:tcPr>
          <w:p>
            <w:r>
              <w:t>Awarding physical representation</w:t>
            </w:r>
          </w:p>
        </w:tc>
      </w:tr>
    </w:tbl>
    <w:p>
      <w:r>
        <w:rPr>
          <w:b/>
          <w:sz w:val="24"/>
        </w:rPr>
        <w:t>24.5 M01–M15 TECHNICAL-DECISION COVERAGE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Module</w:t>
            </w:r>
          </w:p>
        </w:tc>
        <w:tc>
          <w:tcPr>
            <w:tcW w:type="dxa" w:w="2520"/>
          </w:tcPr>
          <w:p>
            <w:r>
              <w:t>Architecture implication</w:t>
            </w:r>
          </w:p>
        </w:tc>
        <w:tc>
          <w:tcPr>
            <w:tcW w:type="dxa" w:w="2520"/>
          </w:tcPr>
          <w:p>
            <w:r>
              <w:t>TD treatment</w:t>
            </w:r>
          </w:p>
        </w:tc>
        <w:tc>
          <w:tcPr>
            <w:tcW w:type="dxa" w:w="2520"/>
          </w:tcPr>
          <w:p>
            <w:r>
              <w:t>Gate</w:t>
            </w:r>
          </w:p>
        </w:tc>
      </w:tr>
      <w:tr>
        <w:tc>
          <w:tcPr>
            <w:tcW w:type="dxa" w:w="2520"/>
          </w:tcPr>
          <w:p>
            <w:r>
              <w:t>M01</w:t>
            </w:r>
          </w:p>
        </w:tc>
        <w:tc>
          <w:tcPr>
            <w:tcW w:type="dxa" w:w="2520"/>
          </w:tcPr>
          <w:p>
            <w:r>
              <w:t>Identity/account/authentication authority</w:t>
            </w:r>
          </w:p>
        </w:tc>
        <w:tc>
          <w:tcPr>
            <w:tcW w:type="dxa" w:w="2520"/>
          </w:tcPr>
          <w:p>
            <w:r>
              <w:t>Preserve / Confirmed</w:t>
            </w:r>
          </w:p>
        </w:tc>
        <w:tc>
          <w:tcPr>
            <w:tcW w:type="dxa" w:w="2520"/>
          </w:tcPr>
          <w:p>
            <w:r>
              <w:t>PASS</w:t>
            </w:r>
          </w:p>
        </w:tc>
      </w:tr>
      <w:tr>
        <w:tc>
          <w:tcPr>
            <w:tcW w:type="dxa" w:w="2520"/>
          </w:tcPr>
          <w:p>
            <w:r>
              <w:t>M02</w:t>
            </w:r>
          </w:p>
        </w:tc>
        <w:tc>
          <w:tcPr>
            <w:tcW w:type="dxa" w:w="2520"/>
          </w:tcPr>
          <w:p>
            <w:r>
              <w:t>Profile/public visibility and CTA semantics</w:t>
            </w:r>
          </w:p>
        </w:tc>
        <w:tc>
          <w:tcPr>
            <w:tcW w:type="dxa" w:w="2520"/>
          </w:tcPr>
          <w:p>
            <w:r>
              <w:t>Preserve / Confirmed</w:t>
            </w:r>
          </w:p>
        </w:tc>
        <w:tc>
          <w:tcPr>
            <w:tcW w:type="dxa" w:w="2520"/>
          </w:tcPr>
          <w:p>
            <w:r>
              <w:t>PASS</w:t>
            </w:r>
          </w:p>
        </w:tc>
      </w:tr>
      <w:tr>
        <w:tc>
          <w:tcPr>
            <w:tcW w:type="dxa" w:w="2520"/>
          </w:tcPr>
          <w:p>
            <w:r>
              <w:t>M03</w:t>
            </w:r>
          </w:p>
        </w:tc>
        <w:tc>
          <w:tcPr>
            <w:tcW w:type="dxa" w:w="2520"/>
          </w:tcPr>
          <w:p>
            <w:r>
              <w:t>Listing + Refresh action authority</w:t>
            </w:r>
          </w:p>
        </w:tc>
        <w:tc>
          <w:tcPr>
            <w:tcW w:type="dxa" w:w="2520"/>
          </w:tcPr>
          <w:p>
            <w:r>
              <w:t>Preserve / Confirmed; M14 does not replace M03</w:t>
            </w:r>
          </w:p>
        </w:tc>
        <w:tc>
          <w:tcPr>
            <w:tcW w:type="dxa" w:w="2520"/>
          </w:tcPr>
          <w:p>
            <w:r>
              <w:t>PASS</w:t>
            </w:r>
          </w:p>
        </w:tc>
      </w:tr>
      <w:tr>
        <w:tc>
          <w:tcPr>
            <w:tcW w:type="dxa" w:w="2520"/>
          </w:tcPr>
          <w:p>
            <w:r>
              <w:t>M04</w:t>
            </w:r>
          </w:p>
        </w:tc>
        <w:tc>
          <w:tcPr>
            <w:tcW w:type="dxa" w:w="2520"/>
          </w:tcPr>
          <w:p>
            <w:r>
              <w:t>Learning + Learning Economy + Session</w:t>
            </w:r>
          </w:p>
        </w:tc>
        <w:tc>
          <w:tcPr>
            <w:tcW w:type="dxa" w:w="2520"/>
          </w:tcPr>
          <w:p>
            <w:r>
              <w:t>Preserve / Confirmed; evidence to M15 governed</w:t>
            </w:r>
          </w:p>
        </w:tc>
        <w:tc>
          <w:tcPr>
            <w:tcW w:type="dxa" w:w="2520"/>
          </w:tcPr>
          <w:p>
            <w:r>
              <w:t>PASS</w:t>
            </w:r>
          </w:p>
        </w:tc>
      </w:tr>
      <w:tr>
        <w:tc>
          <w:tcPr>
            <w:tcW w:type="dxa" w:w="2520"/>
          </w:tcPr>
          <w:p>
            <w:r>
              <w:t>M05</w:t>
            </w:r>
          </w:p>
        </w:tc>
        <w:tc>
          <w:tcPr>
            <w:tcW w:type="dxa" w:w="2520"/>
          </w:tcPr>
          <w:p>
            <w:r>
              <w:t>Event + Calendar + Registration lifecycle</w:t>
            </w:r>
          </w:p>
        </w:tc>
        <w:tc>
          <w:tcPr>
            <w:tcW w:type="dxa" w:w="2520"/>
          </w:tcPr>
          <w:p>
            <w:r>
              <w:t>Preserve / Confirmed</w:t>
            </w:r>
          </w:p>
        </w:tc>
        <w:tc>
          <w:tcPr>
            <w:tcW w:type="dxa" w:w="2520"/>
          </w:tcPr>
          <w:p>
            <w:r>
              <w:t>PASS</w:t>
            </w:r>
          </w:p>
        </w:tc>
      </w:tr>
      <w:tr>
        <w:tc>
          <w:tcPr>
            <w:tcW w:type="dxa" w:w="2520"/>
          </w:tcPr>
          <w:p>
            <w:r>
              <w:t>M06</w:t>
            </w:r>
          </w:p>
        </w:tc>
        <w:tc>
          <w:tcPr>
            <w:tcW w:type="dxa" w:w="2520"/>
          </w:tcPr>
          <w:p>
            <w:r>
              <w:t>Developer + Project + Media + Marketing Kit + Claim</w:t>
            </w:r>
          </w:p>
        </w:tc>
        <w:tc>
          <w:tcPr>
            <w:tcW w:type="dxa" w:w="2520"/>
          </w:tcPr>
          <w:p>
            <w:r>
              <w:t>Preserve / Confirmed</w:t>
            </w:r>
          </w:p>
        </w:tc>
        <w:tc>
          <w:tcPr>
            <w:tcW w:type="dxa" w:w="2520"/>
          </w:tcPr>
          <w:p>
            <w:r>
              <w:t>PASS</w:t>
            </w:r>
          </w:p>
        </w:tc>
      </w:tr>
      <w:tr>
        <w:tc>
          <w:tcPr>
            <w:tcW w:type="dxa" w:w="2520"/>
          </w:tcPr>
          <w:p>
            <w:r>
              <w:t>M07</w:t>
            </w:r>
          </w:p>
        </w:tc>
        <w:tc>
          <w:tcPr>
            <w:tcW w:type="dxa" w:w="2520"/>
          </w:tcPr>
          <w:p>
            <w:r>
              <w:t>Configuration/domain alignment</w:t>
            </w:r>
          </w:p>
        </w:tc>
        <w:tc>
          <w:tcPr>
            <w:tcW w:type="dxa" w:w="2520"/>
          </w:tcPr>
          <w:p>
            <w:r>
              <w:t>Controlled downstream where physical realization is concerned</w:t>
            </w:r>
          </w:p>
        </w:tc>
        <w:tc>
          <w:tcPr>
            <w:tcW w:type="dxa" w:w="2520"/>
          </w:tcPr>
          <w:p>
            <w:r>
              <w:t>PASS</w:t>
            </w:r>
          </w:p>
        </w:tc>
      </w:tr>
      <w:tr>
        <w:tc>
          <w:tcPr>
            <w:tcW w:type="dxa" w:w="2520"/>
          </w:tcPr>
          <w:p>
            <w:r>
              <w:t>M08</w:t>
            </w:r>
          </w:p>
        </w:tc>
        <w:tc>
          <w:tcPr>
            <w:tcW w:type="dxa" w:w="2520"/>
          </w:tcPr>
          <w:p>
            <w:r>
              <w:t>Dashboard Projection + Notification State</w:t>
            </w:r>
          </w:p>
        </w:tc>
        <w:tc>
          <w:tcPr>
            <w:tcW w:type="dxa" w:w="2520"/>
          </w:tcPr>
          <w:p>
            <w:r>
              <w:t>Preserve / Confirmed; no mutation authority</w:t>
            </w:r>
          </w:p>
        </w:tc>
        <w:tc>
          <w:tcPr>
            <w:tcW w:type="dxa" w:w="2520"/>
          </w:tcPr>
          <w:p>
            <w:r>
              <w:t>PASS</w:t>
            </w:r>
          </w:p>
        </w:tc>
      </w:tr>
      <w:tr>
        <w:tc>
          <w:tcPr>
            <w:tcW w:type="dxa" w:w="2520"/>
          </w:tcPr>
          <w:p>
            <w:r>
              <w:t>M09</w:t>
            </w:r>
          </w:p>
        </w:tc>
        <w:tc>
          <w:tcPr>
            <w:tcW w:type="dxa" w:w="2520"/>
          </w:tcPr>
          <w:p>
            <w:r>
              <w:t>Configuration + Audit + Administrative Export</w:t>
            </w:r>
          </w:p>
        </w:tc>
        <w:tc>
          <w:tcPr>
            <w:tcW w:type="dxa" w:w="2520"/>
          </w:tcPr>
          <w:p>
            <w:r>
              <w:t>Preserve / Confirmed; subject to M10</w:t>
            </w:r>
          </w:p>
        </w:tc>
        <w:tc>
          <w:tcPr>
            <w:tcW w:type="dxa" w:w="2520"/>
          </w:tcPr>
          <w:p>
            <w:r>
              <w:t>PASS</w:t>
            </w:r>
          </w:p>
        </w:tc>
      </w:tr>
      <w:tr>
        <w:tc>
          <w:tcPr>
            <w:tcW w:type="dxa" w:w="2520"/>
          </w:tcPr>
          <w:p>
            <w:r>
              <w:t>M10</w:t>
            </w:r>
          </w:p>
        </w:tc>
        <w:tc>
          <w:tcPr>
            <w:tcW w:type="dxa" w:w="2520"/>
          </w:tcPr>
          <w:p>
            <w:r>
              <w:t>Authorization model</w:t>
            </w:r>
          </w:p>
        </w:tc>
        <w:tc>
          <w:tcPr>
            <w:tcW w:type="dxa" w:w="2520"/>
          </w:tcPr>
          <w:p>
            <w:r>
              <w:t>Locked / Confirmed; AEP3-OD-06 synchronized</w:t>
            </w:r>
          </w:p>
        </w:tc>
        <w:tc>
          <w:tcPr>
            <w:tcW w:type="dxa" w:w="2520"/>
          </w:tcPr>
          <w:p>
            <w:r>
              <w:t>PASS</w:t>
            </w:r>
          </w:p>
        </w:tc>
      </w:tr>
      <w:tr>
        <w:tc>
          <w:tcPr>
            <w:tcW w:type="dxa" w:w="2520"/>
          </w:tcPr>
          <w:p>
            <w:r>
              <w:t>M11</w:t>
            </w:r>
          </w:p>
        </w:tc>
        <w:tc>
          <w:tcPr>
            <w:tcW w:type="dxa" w:w="2520"/>
          </w:tcPr>
          <w:p>
            <w:r>
              <w:t>All approved public discovery surfaces</w:t>
            </w:r>
          </w:p>
        </w:tc>
        <w:tc>
          <w:tcPr>
            <w:tcW w:type="dxa" w:w="2520"/>
          </w:tcPr>
          <w:p>
            <w:r>
              <w:t>Locked / Confirmed</w:t>
            </w:r>
          </w:p>
        </w:tc>
        <w:tc>
          <w:tcPr>
            <w:tcW w:type="dxa" w:w="2520"/>
          </w:tcPr>
          <w:p>
            <w:r>
              <w:t>PASS</w:t>
            </w:r>
          </w:p>
        </w:tc>
      </w:tr>
      <w:tr>
        <w:tc>
          <w:tcPr>
            <w:tcW w:type="dxa" w:w="2520"/>
          </w:tcPr>
          <w:p>
            <w:r>
              <w:t>M12</w:t>
            </w:r>
          </w:p>
        </w:tc>
        <w:tc>
          <w:tcPr>
            <w:tcW w:type="dxa" w:w="2520"/>
          </w:tcPr>
          <w:p>
            <w:r>
              <w:t>Organization + Membership</w:t>
            </w:r>
          </w:p>
        </w:tc>
        <w:tc>
          <w:tcPr>
            <w:tcW w:type="dxa" w:w="2520"/>
          </w:tcPr>
          <w:p>
            <w:r>
              <w:t>Preserve / Confirmed</w:t>
            </w:r>
          </w:p>
        </w:tc>
        <w:tc>
          <w:tcPr>
            <w:tcW w:type="dxa" w:w="2520"/>
          </w:tcPr>
          <w:p>
            <w:r>
              <w:t>PASS</w:t>
            </w:r>
          </w:p>
        </w:tc>
      </w:tr>
      <w:tr>
        <w:tc>
          <w:tcPr>
            <w:tcW w:type="dxa" w:w="2520"/>
          </w:tcPr>
          <w:p>
            <w:r>
              <w:t>M13</w:t>
            </w:r>
          </w:p>
        </w:tc>
        <w:tc>
          <w:tcPr>
            <w:tcW w:type="dxa" w:w="2520"/>
          </w:tcPr>
          <w:p>
            <w:r>
              <w:t>Provider Catalogue + BYOK governance</w:t>
            </w:r>
          </w:p>
        </w:tc>
        <w:tc>
          <w:tcPr>
            <w:tcW w:type="dxa" w:w="2520"/>
          </w:tcPr>
          <w:p>
            <w:r>
              <w:t>Locked / Confirmed</w:t>
            </w:r>
          </w:p>
        </w:tc>
        <w:tc>
          <w:tcPr>
            <w:tcW w:type="dxa" w:w="2520"/>
          </w:tcPr>
          <w:p>
            <w:r>
              <w:t>PASS</w:t>
            </w:r>
          </w:p>
        </w:tc>
      </w:tr>
      <w:tr>
        <w:tc>
          <w:tcPr>
            <w:tcW w:type="dxa" w:w="2520"/>
          </w:tcPr>
          <w:p>
            <w:r>
              <w:t>M14</w:t>
            </w:r>
          </w:p>
        </w:tc>
        <w:tc>
          <w:tcPr>
            <w:tcW w:type="dxa" w:w="2520"/>
          </w:tcPr>
          <w:p>
            <w:r>
              <w:t>Commercial lifecycle + Q01–Q64 provenance</w:t>
            </w:r>
          </w:p>
        </w:tc>
        <w:tc>
          <w:tcPr>
            <w:tcW w:type="dxa" w:w="2520"/>
          </w:tcPr>
          <w:p>
            <w:r>
              <w:t>Locked / Confirmed; Q65–Q66 residual controlled</w:t>
            </w:r>
          </w:p>
        </w:tc>
        <w:tc>
          <w:tcPr>
            <w:tcW w:type="dxa" w:w="2520"/>
          </w:tcPr>
          <w:p>
            <w:r>
              <w:t>PASS WITH CONTROLLED PROVENANCE RESIDUAL</w:t>
            </w:r>
          </w:p>
        </w:tc>
      </w:tr>
      <w:tr>
        <w:tc>
          <w:tcPr>
            <w:tcW w:type="dxa" w:w="2520"/>
          </w:tcPr>
          <w:p>
            <w:r>
              <w:t>M15</w:t>
            </w:r>
          </w:p>
        </w:tc>
        <w:tc>
          <w:tcPr>
            <w:tcW w:type="dxa" w:w="2520"/>
          </w:tcPr>
          <w:p>
            <w:r>
              <w:t>Qualification + Evidence + Awarding</w:t>
            </w:r>
          </w:p>
        </w:tc>
        <w:tc>
          <w:tcPr>
            <w:tcW w:type="dxa" w:w="2520"/>
          </w:tcPr>
          <w:p>
            <w:r>
              <w:t>Locked / Confirmed; separate from M04/M14</w:t>
            </w:r>
          </w:p>
        </w:tc>
        <w:tc>
          <w:tcPr>
            <w:tcW w:type="dxa" w:w="2520"/>
          </w:tcPr>
          <w:p>
            <w:r>
              <w:t>PASS</w:t>
            </w:r>
          </w:p>
        </w:tc>
      </w:tr>
    </w:tbl>
    <w:p>
      <w:r>
        <w:rPr>
          <w:b/>
          <w:sz w:val="24"/>
        </w:rPr>
        <w:t>24.6 MANDATORY AUTHORITY / BOUNDARY CHECKS</w:t>
      </w:r>
    </w:p>
    <w:p>
      <w:pPr>
        <w:pStyle w:val="ListBullet"/>
      </w:pPr>
      <w:r>
        <w:t>M03 ≠ M14: M14 owns commercial allowance/entitlement; M03 owns Refresh action authority; M10 owns authorization.</w:t>
      </w:r>
    </w:p>
    <w:p>
      <w:pPr>
        <w:pStyle w:val="ListBullet"/>
      </w:pPr>
      <w:r>
        <w:t>M04 ≠ M15: M04 produces Learning semantics/evidence; M15 consumes governed qualification evidence and owns evaluation/awarding.</w:t>
      </w:r>
    </w:p>
    <w:p>
      <w:pPr>
        <w:pStyle w:val="ListBullet"/>
      </w:pPr>
      <w:r>
        <w:t>M14 ≠ M10: Payment/Entitlement does not directly grant authorization; authorization remains M10.</w:t>
      </w:r>
    </w:p>
    <w:p>
      <w:pPr>
        <w:pStyle w:val="ListBullet"/>
      </w:pPr>
      <w:r>
        <w:t>M11 ≠ administrative lifecycle: M11 performs discovery/SEO/tracking/measurement; lifecycle/configuration remains with authoritative domains.</w:t>
      </w:r>
    </w:p>
    <w:p>
      <w:pPr>
        <w:pStyle w:val="ListBullet"/>
      </w:pPr>
      <w:r>
        <w:t>M08 ≠ mutation authority: Dashboard Projection/Notification State is projection/communication state only.</w:t>
      </w:r>
    </w:p>
    <w:p>
      <w:pPr>
        <w:pStyle w:val="ListBullet"/>
      </w:pPr>
      <w:r>
        <w:t>M09 ≠ authorization authority: administration does not create authorization outside M10.</w:t>
      </w:r>
    </w:p>
    <w:p>
      <w:pPr>
        <w:pStyle w:val="ListBullet"/>
      </w:pPr>
      <w:r>
        <w:t>M15 ≠ M14: Q01–Q64 remain M14, including Q40/Q54/Q61/Q62; no M14 commercial question is reassigned to M15.</w:t>
      </w:r>
    </w:p>
    <w:p>
      <w:pPr>
        <w:pStyle w:val="ListBullet"/>
      </w:pPr>
      <w:r>
        <w:t>Provider configuration/M13 cannot bypass M10 authorization.</w:t>
      </w:r>
    </w:p>
    <w:p>
      <w:r>
        <w:rPr>
          <w:b/>
          <w:sz w:val="24"/>
        </w:rPr>
        <w:t>24.7 TECHNICAL DECISION GAPS / CONTROLLED RESIDUALS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Gap / residual</w:t>
            </w:r>
          </w:p>
        </w:tc>
        <w:tc>
          <w:tcPr>
            <w:tcW w:type="dxa" w:w="2520"/>
          </w:tcPr>
          <w:p>
            <w:r>
              <w:t>Source</w:t>
            </w:r>
          </w:p>
        </w:tc>
        <w:tc>
          <w:tcPr>
            <w:tcW w:type="dxa" w:w="2520"/>
          </w:tcPr>
          <w:p>
            <w:r>
              <w:t>Treatment</w:t>
            </w:r>
          </w:p>
        </w:tc>
        <w:tc>
          <w:tcPr>
            <w:tcW w:type="dxa" w:w="2520"/>
          </w:tcPr>
          <w:p>
            <w:r>
              <w:t>Status</w:t>
            </w:r>
          </w:p>
        </w:tc>
      </w:tr>
      <w:tr>
        <w:tc>
          <w:tcPr>
            <w:tcW w:type="dxa" w:w="2520"/>
          </w:tcPr>
          <w:p>
            <w:r>
              <w:t>Exact physical schema/cardinality for newly represented architectural consequences</w:t>
            </w:r>
          </w:p>
        </w:tc>
        <w:tc>
          <w:tcPr>
            <w:tcW w:type="dxa" w:w="2520"/>
          </w:tcPr>
          <w:p>
            <w:r>
              <w:t>Architecture v1.9 + existing downstream evidence</w:t>
            </w:r>
          </w:p>
        </w:tc>
        <w:tc>
          <w:tcPr>
            <w:tcW w:type="dxa" w:w="2520"/>
          </w:tcPr>
          <w:p>
            <w:r>
              <w:t>Do not invent in TD; downstream ERD/Dictionary/Schema</w:t>
            </w:r>
          </w:p>
        </w:tc>
        <w:tc>
          <w:tcPr>
            <w:tcW w:type="dxa" w:w="2520"/>
          </w:tcPr>
          <w:p>
            <w:r>
              <w:t>CONTROLLED</w:t>
            </w:r>
          </w:p>
        </w:tc>
      </w:tr>
      <w:tr>
        <w:tc>
          <w:tcPr>
            <w:tcW w:type="dxa" w:w="2520"/>
          </w:tcPr>
          <w:p>
            <w:r>
              <w:t>Exact API payload/state contracts</w:t>
            </w:r>
          </w:p>
        </w:tc>
        <w:tc>
          <w:tcPr>
            <w:tcW w:type="dxa" w:w="2520"/>
          </w:tcPr>
          <w:p>
            <w:r>
              <w:t>Architecture v1.9</w:t>
            </w:r>
          </w:p>
        </w:tc>
        <w:tc>
          <w:tcPr>
            <w:tcW w:type="dxa" w:w="2520"/>
          </w:tcPr>
          <w:p>
            <w:r>
              <w:t>Downstream API synchronization</w:t>
            </w:r>
          </w:p>
        </w:tc>
        <w:tc>
          <w:tcPr>
            <w:tcW w:type="dxa" w:w="2520"/>
          </w:tcPr>
          <w:p>
            <w:r>
              <w:t>CONTROLLED</w:t>
            </w:r>
          </w:p>
        </w:tc>
      </w:tr>
      <w:tr>
        <w:tc>
          <w:tcPr>
            <w:tcW w:type="dxa" w:w="2520"/>
          </w:tcPr>
          <w:p>
            <w:r>
              <w:t>Exact permission IDs / RLS implementation</w:t>
            </w:r>
          </w:p>
        </w:tc>
        <w:tc>
          <w:tcPr>
            <w:tcW w:type="dxa" w:w="2520"/>
          </w:tcPr>
          <w:p>
            <w:r>
              <w:t>M10 architecture + authorization evidence</w:t>
            </w:r>
          </w:p>
        </w:tc>
        <w:tc>
          <w:tcPr>
            <w:tcW w:type="dxa" w:w="2520"/>
          </w:tcPr>
          <w:p>
            <w:r>
              <w:t>Downstream RBAC/RLS step</w:t>
            </w:r>
          </w:p>
        </w:tc>
        <w:tc>
          <w:tcPr>
            <w:tcW w:type="dxa" w:w="2520"/>
          </w:tcPr>
          <w:p>
            <w:r>
              <w:t>CONTROLLED</w:t>
            </w:r>
          </w:p>
        </w:tc>
      </w:tr>
      <w:tr>
        <w:tc>
          <w:tcPr>
            <w:tcW w:type="dxa" w:w="2520"/>
          </w:tcPr>
          <w:p>
            <w:r>
              <w:t>Provider operational OAuth/account/plan/quota/rate constraints</w:t>
            </w:r>
          </w:p>
        </w:tc>
        <w:tc>
          <w:tcPr>
            <w:tcW w:type="dxa" w:w="2520"/>
          </w:tcPr>
          <w:p>
            <w:r>
              <w:t>M13/provider evidence</w:t>
            </w:r>
          </w:p>
        </w:tc>
        <w:tc>
          <w:tcPr>
            <w:tcW w:type="dxa" w:w="2520"/>
          </w:tcPr>
          <w:p>
            <w:r>
              <w:t>Operational/provider verification</w:t>
            </w:r>
          </w:p>
        </w:tc>
        <w:tc>
          <w:tcPr>
            <w:tcW w:type="dxa" w:w="2520"/>
          </w:tcPr>
          <w:p>
            <w:r>
              <w:t>CONTROLLED</w:t>
            </w:r>
          </w:p>
        </w:tc>
      </w:tr>
      <w:tr>
        <w:tc>
          <w:tcPr>
            <w:tcW w:type="dxa" w:w="2520"/>
          </w:tcPr>
          <w:p>
            <w:r>
              <w:t>Q65–Q66 lineage discrepancy</w:t>
            </w:r>
          </w:p>
        </w:tc>
        <w:tc>
          <w:tcPr>
            <w:tcW w:type="dxa" w:w="2520"/>
          </w:tcPr>
          <w:p>
            <w:r>
              <w:t>M14 provenance / reconciliation evidence</w:t>
            </w:r>
          </w:p>
        </w:tc>
        <w:tc>
          <w:tcPr>
            <w:tcW w:type="dxa" w:w="2520"/>
          </w:tcPr>
          <w:p>
            <w:r>
              <w:t>Preserve as provenance residual; do not reassign</w:t>
            </w:r>
          </w:p>
        </w:tc>
        <w:tc>
          <w:tcPr>
            <w:tcW w:type="dxa" w:w="2520"/>
          </w:tcPr>
          <w:p>
            <w:r>
              <w:t>CONTROLLED PROVENANCE</w:t>
            </w:r>
          </w:p>
        </w:tc>
      </w:tr>
      <w:tr>
        <w:tc>
          <w:tcPr>
            <w:tcW w:type="dxa" w:w="2520"/>
          </w:tcPr>
          <w:p>
            <w:r>
              <w:t>Any architecture consequence without an approved technical decision</w:t>
            </w:r>
          </w:p>
        </w:tc>
        <w:tc>
          <w:tcPr>
            <w:tcW w:type="dxa" w:w="2520"/>
          </w:tcPr>
          <w:p>
            <w:r>
              <w:t>Architecture v1.9</w:t>
            </w:r>
          </w:p>
        </w:tc>
        <w:tc>
          <w:tcPr>
            <w:tcW w:type="dxa" w:w="2520"/>
          </w:tcPr>
          <w:p>
            <w:r>
              <w:t>Record as NEW-REQUIRED decision gap; no decision invented</w:t>
            </w:r>
          </w:p>
        </w:tc>
        <w:tc>
          <w:tcPr>
            <w:tcW w:type="dxa" w:w="2520"/>
          </w:tcPr>
          <w:p>
            <w:r>
              <w:t>OPEN GAP ONLY IF EVIDENCE EXISTS</w:t>
            </w:r>
          </w:p>
        </w:tc>
      </w:tr>
      <w:tr>
        <w:tc>
          <w:tcPr>
            <w:tcW w:type="dxa" w:w="2520"/>
          </w:tcPr>
          <w:p>
            <w:r>
              <w:t>AEP3-OD-06 synchronization omission identified in STEP09-C re-audit</w:t>
            </w:r>
          </w:p>
        </w:tc>
        <w:tc>
          <w:tcPr>
            <w:tcW w:type="dxa" w:w="2520"/>
          </w:tcPr>
          <w:p>
            <w:r>
              <w:t>M10 current QIR/RBAC evidence + existing approved decision lineage</w:t>
            </w:r>
          </w:p>
        </w:tc>
        <w:tc>
          <w:tcPr>
            <w:tcW w:type="dxa" w:w="2520"/>
          </w:tcPr>
          <w:p>
            <w:r>
              <w:t>Integrated into Awarding/Authorization decision inventory and M10 architecture consequence; no new role introduced</w:t>
            </w:r>
          </w:p>
        </w:tc>
        <w:tc>
          <w:tcPr>
            <w:tcW w:type="dxa" w:w="2520"/>
          </w:tcPr>
          <w:p>
            <w:r>
              <w:t>CLOSED / RESOLVED</w:t>
            </w:r>
          </w:p>
        </w:tc>
      </w:tr>
    </w:tbl>
    <w:p>
      <w:r>
        <w:rPr>
          <w:b/>
          <w:sz w:val="24"/>
        </w:rPr>
        <w:t>24.8 CROSS-DOCUMENT CURRENTNESS / PROVENANCE AUDIT</w:t>
      </w:r>
    </w:p>
    <w:p>
      <w:r>
        <w:t>STEP09-C audits current Technical Decisions references against Constitution v1.17, Architecture v1.9, STEP08 Business Rules, M01–M15 reconciliation evidence and current control state. Current Technical Decisions references are synchronized to Architecture v1.9 and Constitution v1.17. Historical Technical Decisions v1.6 references remain historical/provenance where they identify the predecessor/current source lineage. The Dependency Manifest is not rewritten in STEP09-C; any dependency/reference propagation requirement is explicitly handed to STEP09-D.</w:t>
      </w:r>
    </w:p>
    <w:p>
      <w:pPr>
        <w:pStyle w:val="ListBullet"/>
      </w:pPr>
      <w:r>
        <w:t>Current Architecture reference inside the synchronized TD = v1.9.</w:t>
      </w:r>
    </w:p>
    <w:p>
      <w:pPr>
        <w:pStyle w:val="ListBullet"/>
      </w:pPr>
      <w:r>
        <w:t>Current Constitution reference inside the synchronized TD = v1.17.</w:t>
      </w:r>
    </w:p>
    <w:p>
      <w:pPr>
        <w:pStyle w:val="ListBullet"/>
      </w:pPr>
      <w:r>
        <w:t>Historical/predecessor TD v1.6 references remain where they describe source lineage.</w:t>
      </w:r>
    </w:p>
    <w:p>
      <w:pPr>
        <w:pStyle w:val="ListBullet"/>
      </w:pPr>
      <w:r>
        <w:t>No current Technical Decisions statement is allowed to treat the superseded Architecture version as current.</w:t>
      </w:r>
    </w:p>
    <w:p>
      <w:pPr>
        <w:pStyle w:val="ListBullet"/>
      </w:pPr>
      <w:r>
        <w:t>Current downstream artifacts that still cite the superseded Architecture version or TD v1.6 are recorded as controlled synchronization inputs for their applicable downstream step; they are not silently rewritten by STEP09-C.</w:t>
      </w:r>
    </w:p>
    <w:p>
      <w:pPr>
        <w:pStyle w:val="ListBullet"/>
      </w:pPr>
      <w:r>
        <w:t>No Core v1.3 content is modified.</w:t>
      </w:r>
    </w:p>
    <w:p>
      <w:r>
        <w:rPr>
          <w:b/>
          <w:sz w:val="24"/>
        </w:rPr>
        <w:t>24.9 IMPLEMENTATION / RUNTIME BOUNDARY</w:t>
      </w:r>
    </w:p>
    <w:p>
      <w:pPr>
        <w:pStyle w:val="ListBullet"/>
      </w:pPr>
      <w:r>
        <w:t>No DB redesign or migration is authorized by STEP09-C.</w:t>
      </w:r>
    </w:p>
    <w:p>
      <w:pPr>
        <w:pStyle w:val="ListBullet"/>
      </w:pPr>
      <w:r>
        <w:t>No API implementation is authorized.</w:t>
      </w:r>
    </w:p>
    <w:p>
      <w:pPr>
        <w:pStyle w:val="ListBullet"/>
      </w:pPr>
      <w:r>
        <w:t>No RBAC/RLS implementation or permission-ID creation is authorized.</w:t>
      </w:r>
    </w:p>
    <w:p>
      <w:pPr>
        <w:pStyle w:val="ListBullet"/>
      </w:pPr>
      <w:r>
        <w:t>No provider integration deployment is authorized.</w:t>
      </w:r>
    </w:p>
    <w:p>
      <w:pPr>
        <w:pStyle w:val="ListBullet"/>
      </w:pPr>
      <w:r>
        <w:t>No runtime validation or production configuration is claimed.</w:t>
      </w:r>
    </w:p>
    <w:p>
      <w:pPr>
        <w:pStyle w:val="ListBullet"/>
      </w:pPr>
      <w:r>
        <w:t>Technical Decisions describe approved technology consequences and constraints; physical/runtime truth requires later independent evidence.</w:t>
      </w:r>
    </w:p>
    <w:p>
      <w:r>
        <w:rPr>
          <w:b/>
          <w:sz w:val="28"/>
        </w:rPr>
        <w:t>25. FULL-VERSION PRESERVATION AUDIT</w:t>
      </w:r>
    </w:p>
    <w:p>
      <w:pPr>
        <w:pStyle w:val="ListBullet"/>
      </w:pPr>
      <w:r>
        <w:t>Predecessor Technical Decisions v1.6 content is carried forward as the source baseline.</w:t>
      </w:r>
    </w:p>
    <w:p>
      <w:pPr>
        <w:pStyle w:val="ListBullet"/>
      </w:pPr>
      <w:r>
        <w:t>Existing technology stack, approved ADR consequences, Commercial/Payment, Learning Economy, Learning Session, Awarding, Authorization, Organization/Commercial/Listing boundary, Batch treatment, BR treatment, technology state model and implementation boundary are preserved.</w:t>
      </w:r>
    </w:p>
    <w:p>
      <w:pPr>
        <w:pStyle w:val="ListBullet"/>
      </w:pPr>
      <w:r>
        <w:t>Historical/provenance content is not silently deleted.</w:t>
      </w:r>
    </w:p>
    <w:p>
      <w:pPr>
        <w:pStyle w:val="ListBullet"/>
      </w:pPr>
      <w:r>
        <w:t>Current corrections are targeted to approved synchronization consequences and currentness, not a greenfield rewrite.</w:t>
      </w:r>
    </w:p>
    <w:p>
      <w:pPr>
        <w:pStyle w:val="ListBullet"/>
      </w:pPr>
      <w:r>
        <w:t>No silent replacement of a valid decision was performed.</w:t>
      </w:r>
    </w:p>
    <w:p>
      <w:pPr>
        <w:pStyle w:val="ListBullet"/>
      </w:pPr>
      <w:r>
        <w:t>No global version-string replacement was used to rewrite historical provenance.</w:t>
      </w:r>
    </w:p>
    <w:p>
      <w:r>
        <w:rPr>
          <w:b/>
          <w:sz w:val="28"/>
        </w:rPr>
        <w:t>26. STEP09-C GATE</w:t>
      </w:r>
    </w:p>
    <w:tbl>
      <w:tblPr>
        <w:tblStyle w:val="TableGrid"/>
        <w:tblW w:type="auto" w:w="0"/>
        <w:tblLook w:firstColumn="1" w:firstRow="1" w:lastColumn="0" w:lastRow="0" w:noHBand="0" w:noVBand="1" w:val="04A0"/>
      </w:tblPr>
      <w:tblGrid>
        <w:gridCol w:w="5040"/>
        <w:gridCol w:w="5040"/>
      </w:tblGrid>
      <w:tr>
        <w:tc>
          <w:tcPr>
            <w:tcW w:type="dxa" w:w="5040"/>
          </w:tcPr>
          <w:p>
            <w:r>
              <w:t>Gate criterion</w:t>
            </w:r>
          </w:p>
        </w:tc>
        <w:tc>
          <w:tcPr>
            <w:tcW w:type="dxa" w:w="5040"/>
          </w:tcPr>
          <w:p>
            <w:r>
              <w:t>Result</w:t>
            </w:r>
          </w:p>
        </w:tc>
      </w:tr>
      <w:tr>
        <w:tc>
          <w:tcPr>
            <w:tcW w:type="dxa" w:w="5040"/>
          </w:tcPr>
          <w:p>
            <w:r>
              <w:t>Input Architecture = v1.9 / STEP09-B.1 PASS</w:t>
            </w:r>
          </w:p>
        </w:tc>
        <w:tc>
          <w:tcPr>
            <w:tcW w:type="dxa" w:w="5040"/>
          </w:tcPr>
          <w:p>
            <w:r>
              <w:t>PASS</w:t>
            </w:r>
          </w:p>
        </w:tc>
      </w:tr>
      <w:tr>
        <w:tc>
          <w:tcPr>
            <w:tcW w:type="dxa" w:w="5040"/>
          </w:tcPr>
          <w:p>
            <w:r>
              <w:t>Existing Technical Decisions v1.6 fully inventoried and preserved</w:t>
            </w:r>
          </w:p>
        </w:tc>
        <w:tc>
          <w:tcPr>
            <w:tcW w:type="dxa" w:w="5040"/>
          </w:tcPr>
          <w:p>
            <w:r>
              <w:t>PASS</w:t>
            </w:r>
          </w:p>
        </w:tc>
      </w:tr>
      <w:tr>
        <w:tc>
          <w:tcPr>
            <w:tcW w:type="dxa" w:w="5040"/>
          </w:tcPr>
          <w:p>
            <w:r>
              <w:t>Current vs historical TD classified</w:t>
            </w:r>
          </w:p>
        </w:tc>
        <w:tc>
          <w:tcPr>
            <w:tcW w:type="dxa" w:w="5040"/>
          </w:tcPr>
          <w:p>
            <w:r>
              <w:t>PASS</w:t>
            </w:r>
          </w:p>
        </w:tc>
      </w:tr>
      <w:tr>
        <w:tc>
          <w:tcPr>
            <w:tcW w:type="dxa" w:w="5040"/>
          </w:tcPr>
          <w:p>
            <w:r>
              <w:t>Locked decisions identified</w:t>
            </w:r>
          </w:p>
        </w:tc>
        <w:tc>
          <w:tcPr>
            <w:tcW w:type="dxa" w:w="5040"/>
          </w:tcPr>
          <w:p>
            <w:r>
              <w:t>PASS</w:t>
            </w:r>
          </w:p>
        </w:tc>
      </w:tr>
      <w:tr>
        <w:tc>
          <w:tcPr>
            <w:tcW w:type="dxa" w:w="5040"/>
          </w:tcPr>
          <w:p>
            <w:r>
              <w:t>Superseded decisions identified</w:t>
            </w:r>
          </w:p>
        </w:tc>
        <w:tc>
          <w:tcPr>
            <w:tcW w:type="dxa" w:w="5040"/>
          </w:tcPr>
          <w:p>
            <w:r>
              <w:t>PASS</w:t>
            </w:r>
          </w:p>
        </w:tc>
      </w:tr>
      <w:tr>
        <w:tc>
          <w:tcPr>
            <w:tcW w:type="dxa" w:w="5040"/>
          </w:tcPr>
          <w:p>
            <w:r>
              <w:t>Decision dependencies mapped</w:t>
            </w:r>
          </w:p>
        </w:tc>
        <w:tc>
          <w:tcPr>
            <w:tcW w:type="dxa" w:w="5040"/>
          </w:tcPr>
          <w:p>
            <w:r>
              <w:t>PASS</w:t>
            </w:r>
          </w:p>
        </w:tc>
      </w:tr>
      <w:tr>
        <w:tc>
          <w:tcPr>
            <w:tcW w:type="dxa" w:w="5040"/>
          </w:tcPr>
          <w:p>
            <w:r>
              <w:t>Architecture → TD traceability complete</w:t>
            </w:r>
          </w:p>
        </w:tc>
        <w:tc>
          <w:tcPr>
            <w:tcW w:type="dxa" w:w="5040"/>
          </w:tcPr>
          <w:p>
            <w:r>
              <w:t>PASS</w:t>
            </w:r>
          </w:p>
        </w:tc>
      </w:tr>
      <w:tr>
        <w:tc>
          <w:tcPr>
            <w:tcW w:type="dxa" w:w="5040"/>
          </w:tcPr>
          <w:p>
            <w:r>
              <w:t>TD → Architecture traceability complete</w:t>
            </w:r>
          </w:p>
        </w:tc>
        <w:tc>
          <w:tcPr>
            <w:tcW w:type="dxa" w:w="5040"/>
          </w:tcPr>
          <w:p>
            <w:r>
              <w:t>PASS</w:t>
            </w:r>
          </w:p>
        </w:tc>
      </w:tr>
      <w:tr>
        <w:tc>
          <w:tcPr>
            <w:tcW w:type="dxa" w:w="5040"/>
          </w:tcPr>
          <w:p>
            <w:r>
              <w:t>M01–M15 impact reviewed</w:t>
            </w:r>
          </w:p>
        </w:tc>
        <w:tc>
          <w:tcPr>
            <w:tcW w:type="dxa" w:w="5040"/>
          </w:tcPr>
          <w:p>
            <w:r>
              <w:t>PASS</w:t>
            </w:r>
          </w:p>
        </w:tc>
      </w:tr>
      <w:tr>
        <w:tc>
          <w:tcPr>
            <w:tcW w:type="dxa" w:w="5040"/>
          </w:tcPr>
          <w:p>
            <w:r>
              <w:t>M03/M14 boundary</w:t>
            </w:r>
          </w:p>
        </w:tc>
        <w:tc>
          <w:tcPr>
            <w:tcW w:type="dxa" w:w="5040"/>
          </w:tcPr>
          <w:p>
            <w:r>
              <w:t>PASS</w:t>
            </w:r>
          </w:p>
        </w:tc>
      </w:tr>
      <w:tr>
        <w:tc>
          <w:tcPr>
            <w:tcW w:type="dxa" w:w="5040"/>
          </w:tcPr>
          <w:p>
            <w:r>
              <w:t>M04/M15 boundary</w:t>
            </w:r>
          </w:p>
        </w:tc>
        <w:tc>
          <w:tcPr>
            <w:tcW w:type="dxa" w:w="5040"/>
          </w:tcPr>
          <w:p>
            <w:r>
              <w:t>PASS</w:t>
            </w:r>
          </w:p>
        </w:tc>
      </w:tr>
      <w:tr>
        <w:tc>
          <w:tcPr>
            <w:tcW w:type="dxa" w:w="5040"/>
          </w:tcPr>
          <w:p>
            <w:r>
              <w:t>M14/M10 boundary</w:t>
            </w:r>
          </w:p>
        </w:tc>
        <w:tc>
          <w:tcPr>
            <w:tcW w:type="dxa" w:w="5040"/>
          </w:tcPr>
          <w:p>
            <w:r>
              <w:t>PASS</w:t>
            </w:r>
          </w:p>
        </w:tc>
      </w:tr>
      <w:tr>
        <w:tc>
          <w:tcPr>
            <w:tcW w:type="dxa" w:w="5040"/>
          </w:tcPr>
          <w:p>
            <w:r>
              <w:t>M11 boundary</w:t>
            </w:r>
          </w:p>
        </w:tc>
        <w:tc>
          <w:tcPr>
            <w:tcW w:type="dxa" w:w="5040"/>
          </w:tcPr>
          <w:p>
            <w:r>
              <w:t>PASS</w:t>
            </w:r>
          </w:p>
        </w:tc>
      </w:tr>
      <w:tr>
        <w:tc>
          <w:tcPr>
            <w:tcW w:type="dxa" w:w="5040"/>
          </w:tcPr>
          <w:p>
            <w:r>
              <w:t>M08 scope</w:t>
            </w:r>
          </w:p>
        </w:tc>
        <w:tc>
          <w:tcPr>
            <w:tcW w:type="dxa" w:w="5040"/>
          </w:tcPr>
          <w:p>
            <w:r>
              <w:t>PASS</w:t>
            </w:r>
          </w:p>
        </w:tc>
      </w:tr>
      <w:tr>
        <w:tc>
          <w:tcPr>
            <w:tcW w:type="dxa" w:w="5040"/>
          </w:tcPr>
          <w:p>
            <w:r>
              <w:t>M09 scope</w:t>
            </w:r>
          </w:p>
        </w:tc>
        <w:tc>
          <w:tcPr>
            <w:tcW w:type="dxa" w:w="5040"/>
          </w:tcPr>
          <w:p>
            <w:r>
              <w:t>PASS</w:t>
            </w:r>
          </w:p>
        </w:tc>
      </w:tr>
      <w:tr>
        <w:tc>
          <w:tcPr>
            <w:tcW w:type="dxa" w:w="5040"/>
          </w:tcPr>
          <w:p>
            <w:r>
              <w:t>M15/M14 Q provenance</w:t>
            </w:r>
          </w:p>
        </w:tc>
        <w:tc>
          <w:tcPr>
            <w:tcW w:type="dxa" w:w="5040"/>
          </w:tcPr>
          <w:p>
            <w:r>
              <w:t>PASS WITH CONTROLLED PROVENANCE RESIDUAL</w:t>
            </w:r>
          </w:p>
        </w:tc>
      </w:tr>
      <w:tr>
        <w:tc>
          <w:tcPr>
            <w:tcW w:type="dxa" w:w="5040"/>
          </w:tcPr>
          <w:p>
            <w:r>
              <w:t>No invented technical decisions</w:t>
            </w:r>
          </w:p>
        </w:tc>
        <w:tc>
          <w:tcPr>
            <w:tcW w:type="dxa" w:w="5040"/>
          </w:tcPr>
          <w:p>
            <w:r>
              <w:t>PASS</w:t>
            </w:r>
          </w:p>
        </w:tc>
      </w:tr>
      <w:tr>
        <w:tc>
          <w:tcPr>
            <w:tcW w:type="dxa" w:w="5040"/>
          </w:tcPr>
          <w:p>
            <w:r>
              <w:t>No authority inversion</w:t>
            </w:r>
          </w:p>
        </w:tc>
        <w:tc>
          <w:tcPr>
            <w:tcW w:type="dxa" w:w="5040"/>
          </w:tcPr>
          <w:p>
            <w:r>
              <w:t>PASS</w:t>
            </w:r>
          </w:p>
        </w:tc>
      </w:tr>
      <w:tr>
        <w:tc>
          <w:tcPr>
            <w:tcW w:type="dxa" w:w="5040"/>
          </w:tcPr>
          <w:p>
            <w:r>
              <w:t>No semantic redesign</w:t>
            </w:r>
          </w:p>
        </w:tc>
        <w:tc>
          <w:tcPr>
            <w:tcW w:type="dxa" w:w="5040"/>
          </w:tcPr>
          <w:p>
            <w:r>
              <w:t>PASS</w:t>
            </w:r>
          </w:p>
        </w:tc>
      </w:tr>
      <w:tr>
        <w:tc>
          <w:tcPr>
            <w:tcW w:type="dxa" w:w="5040"/>
          </w:tcPr>
          <w:p>
            <w:r>
              <w:t>No Core v1.3 modification</w:t>
            </w:r>
          </w:p>
        </w:tc>
        <w:tc>
          <w:tcPr>
            <w:tcW w:type="dxa" w:w="5040"/>
          </w:tcPr>
          <w:p>
            <w:r>
              <w:t>PASS</w:t>
            </w:r>
          </w:p>
        </w:tc>
      </w:tr>
      <w:tr>
        <w:tc>
          <w:tcPr>
            <w:tcW w:type="dxa" w:w="5040"/>
          </w:tcPr>
          <w:p>
            <w:r>
              <w:t>No DB/API/RBAC/RLS implementation</w:t>
            </w:r>
          </w:p>
        </w:tc>
        <w:tc>
          <w:tcPr>
            <w:tcW w:type="dxa" w:w="5040"/>
          </w:tcPr>
          <w:p>
            <w:r>
              <w:t>PASS</w:t>
            </w:r>
          </w:p>
        </w:tc>
      </w:tr>
      <w:tr>
        <w:tc>
          <w:tcPr>
            <w:tcW w:type="dxa" w:w="5040"/>
          </w:tcPr>
          <w:p>
            <w:r>
              <w:t>Physical/runtime claims controlled</w:t>
            </w:r>
          </w:p>
        </w:tc>
        <w:tc>
          <w:tcPr>
            <w:tcW w:type="dxa" w:w="5040"/>
          </w:tcPr>
          <w:p>
            <w:r>
              <w:t>PASS</w:t>
            </w:r>
          </w:p>
        </w:tc>
      </w:tr>
      <w:tr>
        <w:tc>
          <w:tcPr>
            <w:tcW w:type="dxa" w:w="5040"/>
          </w:tcPr>
          <w:p>
            <w:r>
              <w:t>Decision gaps explicitly recorded</w:t>
            </w:r>
          </w:p>
        </w:tc>
        <w:tc>
          <w:tcPr>
            <w:tcW w:type="dxa" w:w="5040"/>
          </w:tcPr>
          <w:p>
            <w:r>
              <w:t>PASS</w:t>
            </w:r>
          </w:p>
        </w:tc>
      </w:tr>
      <w:tr>
        <w:tc>
          <w:tcPr>
            <w:tcW w:type="dxa" w:w="5040"/>
          </w:tcPr>
          <w:p>
            <w:r>
              <w:t>Cross-document currentness audit</w:t>
            </w:r>
          </w:p>
        </w:tc>
        <w:tc>
          <w:tcPr>
            <w:tcW w:type="dxa" w:w="5040"/>
          </w:tcPr>
          <w:p>
            <w:r>
              <w:t>PASS</w:t>
            </w:r>
          </w:p>
        </w:tc>
      </w:tr>
      <w:tr>
        <w:tc>
          <w:tcPr>
            <w:tcW w:type="dxa" w:w="5040"/>
          </w:tcPr>
          <w:p>
            <w:r>
              <w:t>Full-version preservation audit</w:t>
            </w:r>
          </w:p>
        </w:tc>
        <w:tc>
          <w:tcPr>
            <w:tcW w:type="dxa" w:w="5040"/>
          </w:tcPr>
          <w:p>
            <w:r>
              <w:t>PASS</w:t>
            </w:r>
          </w:p>
        </w:tc>
      </w:tr>
      <w:tr>
        <w:tc>
          <w:tcPr>
            <w:tcW w:type="dxa" w:w="5040"/>
          </w:tcPr>
          <w:p>
            <w:r>
              <w:t>No silent deletion/replacement</w:t>
            </w:r>
          </w:p>
        </w:tc>
        <w:tc>
          <w:tcPr>
            <w:tcW w:type="dxa" w:w="5040"/>
          </w:tcPr>
          <w:p>
            <w:r>
              <w:t>PASS</w:t>
            </w:r>
          </w:p>
        </w:tc>
      </w:tr>
      <w:tr>
        <w:tc>
          <w:tcPr>
            <w:tcW w:type="dxa" w:w="5040"/>
          </w:tcPr>
          <w:p>
            <w:r>
              <w:t>Provenance complete</w:t>
            </w:r>
          </w:p>
        </w:tc>
        <w:tc>
          <w:tcPr>
            <w:tcW w:type="dxa" w:w="5040"/>
          </w:tcPr>
          <w:p>
            <w:r>
              <w:t>PASS</w:t>
            </w:r>
          </w:p>
        </w:tc>
      </w:tr>
      <w:tr>
        <w:tc>
          <w:tcPr>
            <w:tcW w:type="dxa" w:w="5040"/>
          </w:tcPr>
          <w:p>
            <w:r>
              <w:t>STEP09-D handoff requirement recorded</w:t>
            </w:r>
          </w:p>
        </w:tc>
        <w:tc>
          <w:tcPr>
            <w:tcW w:type="dxa" w:w="5040"/>
          </w:tcPr>
          <w:p>
            <w:r>
              <w:t>PASS</w:t>
            </w:r>
          </w:p>
        </w:tc>
      </w:tr>
      <w:tr>
        <w:tc>
          <w:tcPr>
            <w:tcW w:type="dxa" w:w="5040"/>
          </w:tcPr>
          <w:p>
            <w:r>
              <w:t>AEP3-OD-06 explicitly carried into current TD</w:t>
            </w:r>
          </w:p>
        </w:tc>
        <w:tc>
          <w:tcPr>
            <w:tcW w:type="dxa" w:w="5040"/>
          </w:tcPr>
          <w:p>
            <w:r>
              <w:t>PASS</w:t>
            </w:r>
          </w:p>
        </w:tc>
      </w:tr>
      <w:tr>
        <w:tc>
          <w:tcPr>
            <w:tcW w:type="dxa" w:w="5040"/>
          </w:tcPr>
          <w:p>
            <w:r>
              <w:t>Currentness wording Constitution v1.17 / Architecture v1.9 consistent</w:t>
            </w:r>
          </w:p>
        </w:tc>
        <w:tc>
          <w:tcPr>
            <w:tcW w:type="dxa" w:w="5040"/>
          </w:tcPr>
          <w:p>
            <w:r>
              <w:t>PASS</w:t>
            </w:r>
          </w:p>
        </w:tc>
      </w:tr>
      <w:tr>
        <w:tc>
          <w:tcPr>
            <w:tcW w:type="dxa" w:w="5040"/>
          </w:tcPr>
          <w:p>
            <w:r>
              <w:t>No valid predecessor TD content removed by correction</w:t>
            </w:r>
          </w:p>
        </w:tc>
        <w:tc>
          <w:tcPr>
            <w:tcW w:type="dxa" w:w="5040"/>
          </w:tcPr>
          <w:p>
            <w:r>
              <w:t>PASS</w:t>
            </w:r>
          </w:p>
        </w:tc>
      </w:tr>
      <w:tr>
        <w:tc>
          <w:tcPr>
            <w:tcW w:type="dxa" w:w="5040"/>
          </w:tcPr>
          <w:p>
            <w:r>
              <w:t>STEP09-C controlled re-entry result</w:t>
            </w:r>
          </w:p>
        </w:tc>
        <w:tc>
          <w:tcPr>
            <w:tcW w:type="dxa" w:w="5040"/>
          </w:tcPr>
          <w:p>
            <w:r>
              <w:t>PASS WITH CONTROLLED PROVENANCE RESIDUAL</w:t>
            </w:r>
          </w:p>
        </w:tc>
      </w:tr>
    </w:tbl>
    <w:p>
      <w:r>
        <w:t>STEP09-C RESULT = PASS WITH CONTROLLED PROVENANCE RESIDUAL. The only non-green item is the pre-existing Q65–Q66 lineage discrepancy, which is explicitly preserved as controlled provenance and is not reassigned. No technical decision was invented. STEP09-D is the next execution stage and owns Dependency Manifest synchronization.</w:t>
      </w:r>
    </w:p>
    <w:p>
      <w:r>
        <w:rPr>
          <w:b/>
          <w:sz w:val="28"/>
        </w:rPr>
        <w:t>27. CANONICALITY DECLARATION</w:t>
      </w:r>
    </w:p>
    <w:p>
      <w:r>
        <w:t>Current Technical Decisions authority for this synchronization state remains W4-02A.6.6 — Technical Decisions v1.6, now carrying the STEP09-C synchronization revision. The formal version v1.6 is retained; STEP09-C is the controlled synchronization event. The artifact is full-version, not a patch. Downstream implementers must consume the current synchronized state, while historical candidate/addendum artifacts remain provenance only.</w:t>
      </w:r>
    </w:p>
    <w:p>
      <w:r>
        <w:rPr>
          <w:b/>
          <w:sz w:val="28"/>
        </w:rPr>
        <w:t>28. NEXT STEP / HANDOFF</w:t>
      </w:r>
    </w:p>
    <w:p>
      <w:r>
        <w:t>NEXT STEP = W4-02A.6.7 — DEPENDENCY MANIFEST FULL CONSOLIDATION (STEP09-D). STEP09-C stops here. STEP09-D shall consume Constitution v1.17 + Architecture v1.9 + Technical Decisions v1.6 STEP09-C synchronized state and reconcile internal/external/API/data/event/config/runtime dependencies, ownership separation and circularity. No STEP09-D work is performed inside this artifact.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RumahAgen | W4-02A.6.6 | Technical Decisions v1.6 | COMPLETE / GREEN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W4-02A.6.6 Technical Decisions Full Consolidated v1.6 — STEP09-C Synchronized Full Version Corrected Re-entry</dc:title>
  <dc:subject>Full-version STEP09-C controlled re-entry synchronization; AEP3-OD-06 and currentness correction integrated.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