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RumahAgen R01/WF03 — P4 Module Execution Specification Architecture FULL REBUILD v1.3</w:t>
      </w:r>
    </w:p>
    <w:p>
      <w:r>
        <w:t xml:space="preserve">**Gate:** PASS WITH CONTROLLED RESIDUALS  </w:t>
      </w:r>
    </w:p>
    <w:p>
      <w:r>
        <w:t xml:space="preserve">**Mode:** FULL VERSION — NOT PATCH / NOT APPEND  </w:t>
      </w:r>
    </w:p>
    <w:p>
      <w:r>
        <w:t xml:space="preserve">**Source boundary:** ONLY the seven uploaded ZIP files named in the current task  </w:t>
      </w:r>
    </w:p>
    <w:p>
      <w:r>
        <w:t xml:space="preserve">**Core v1.3:** IMMUTABLE / READ-ONLY  </w:t>
      </w:r>
    </w:p>
    <w:p>
      <w:r>
        <w:t xml:space="preserve">**Implementation/runtime:** NOT EXECUTED / NOT CLAIMED  </w:t>
      </w:r>
    </w:p>
    <w:p>
      <w:pPr>
        <w:pStyle w:val="Heading1"/>
      </w:pPr>
      <w:r>
        <w:t>1. Full Deep-Scan Gate</w:t>
      </w:r>
    </w:p>
    <w:p>
      <w:r>
        <w:t>All uploaded source archives were recursively inspected, including nested ZIP contents.</w:t>
      </w:r>
    </w:p>
    <w:p>
      <w:r>
        <w:t>| Input | Recursive file instances | Nested ZIP instances | Max depth | SHA256 |</w:t>
      </w:r>
    </w:p>
    <w:p>
      <w:r>
        <w:t>|---|---:|---:|---:|---|</w:t>
      </w:r>
    </w:p>
    <w:p>
      <w:r>
        <w:t>| P4 v1.2 | 29 | 0 | 0 | 15e26fe4b2ab1018b873d4c3973dcd63da648b93c7eeefa06fb0ccc7efb15c43 |</w:t>
      </w:r>
    </w:p>
    <w:p>
      <w:r>
        <w:t>| P3 v1.1 | 16 | 0 | 0 | ded06455f433bfe9892887737d7d1e17a7747e8136b2af1404d7099156838b1e |</w:t>
      </w:r>
    </w:p>
    <w:p>
      <w:r>
        <w:t>| P2 v1.2 | 13 | 0 | 0 | b379851d55006a26ef9cf33d087c2832f317a572ec6fcd96c131ed521a4fd106 |</w:t>
      </w:r>
    </w:p>
    <w:p>
      <w:r>
        <w:t>| P1 v1.1 | 12 | 0 | 0 | 1b58f73442b8f1a59d193645c512ab113db27e08d3f24e47084bb417f04c809f |</w:t>
      </w:r>
    </w:p>
    <w:p>
      <w:r>
        <w:t>| STEP SYNC CORE | 830 | 53 | 2 | d453f7a0e5583faf1cdd51a5b36b7359bebc839c3c7cf3dcc991493aa69f02ea |</w:t>
      </w:r>
    </w:p>
    <w:p>
      <w:r>
        <w:t>| M01–M15 Recon | 2374 | 73 | 2 | 91354375da7c57257a7c4ef7da0aae3e26fc832f424d55d78dde8956dc7a54d7 |</w:t>
      </w:r>
    </w:p>
    <w:p>
      <w:r>
        <w:t>| Core v1.3 source pack | 77 | 5 | 1 | 7c491ce312a42f7d4debd77a4533a895dd35a71ad7464053c0bfe61639ba72e6 |</w:t>
      </w:r>
    </w:p>
    <w:p>
      <w:r>
        <w:t xml:space="preserve">**Total recursively inspected file instances: 3351.**  </w:t>
      </w:r>
    </w:p>
    <w:p>
      <w:r>
        <w:t>**Total nested ZIP instances: 131.**</w:t>
      </w:r>
    </w:p>
    <w:p>
      <w:pPr>
        <w:pStyle w:val="Heading1"/>
      </w:pPr>
      <w:r>
        <w:t>2. P4 Completeness Recheck</w:t>
      </w:r>
    </w:p>
    <w:p>
      <w:r>
        <w:t>The v1.2 baseline correctly covered all 57 P3 change obligations, 17 Core IP packages, 65 P1 dependency edges, 60 P3 work packages, 15 modules, and 135 cross-layer mappings.</w:t>
      </w:r>
    </w:p>
    <w:p>
      <w:r>
        <w:t>The deep scan found two classes of corrections required before P4 could be treated as fully reconciled:</w:t>
      </w:r>
    </w:p>
    <w:p>
      <w:r>
        <w:t>1. **Execution-routing precision defects** in the P4 change matrix, where several P3 obligations were routed to a semantically unrelated P4 work package.</w:t>
      </w:r>
    </w:p>
    <w:p>
      <w:r>
        <w:t>2. **Controlled API/authorization/transport/traceability residuals** present in the uploaded STEP11-D current finding register that were not explicitly carried into the P4 residual/evidence architecture.</w:t>
      </w:r>
    </w:p>
    <w:p>
      <w:r>
        <w:t>No physical/runtime defect was silently converted into a completed implementation claim.</w:t>
      </w:r>
    </w:p>
    <w:p>
      <w:pPr>
        <w:pStyle w:val="Heading1"/>
      </w:pPr>
      <w:r>
        <w:t>3. M01–M15 Scope Verdict</w:t>
      </w:r>
    </w:p>
    <w:p>
      <w:pPr>
        <w:pStyle w:val="Heading2"/>
      </w:pPr>
      <w:r>
        <w:t>Result: CORRECTED AND RECONCILED</w:t>
      </w:r>
    </w:p>
    <w:p>
      <w:r>
        <w:t>All 57 P3 M01–M15 change obligations remain present. P4 v1.3 corrects the execution routing where the prior matrix was imprecise.</w:t>
      </w:r>
    </w:p>
    <w:p>
      <w:r>
        <w:t>Key corrected examples:</w:t>
      </w:r>
    </w:p>
    <w:p>
      <w:pPr>
        <w:pStyle w:val="ListBullet"/>
      </w:pPr>
      <w:r>
        <w:t>M01 activation/KTP/verification → `M01-P4-WP02 Activation &amp; Verification`.</w:t>
      </w:r>
    </w:p>
    <w:p>
      <w:pPr>
        <w:pStyle w:val="ListBullet"/>
      </w:pPr>
      <w:r>
        <w:t>M02 reviews → `M02-P4-WP02`; visibility/CTA/override → `M02-P4-WP03`.</w:t>
      </w:r>
    </w:p>
    <w:p>
      <w:pPr>
        <w:pStyle w:val="ListBullet"/>
      </w:pPr>
      <w:r>
        <w:t>M03 owner-only update → `M03-P4-WP02`; Refresh remains `M03-P4-WP03`.</w:t>
      </w:r>
    </w:p>
    <w:p>
      <w:pPr>
        <w:pStyle w:val="ListBullet"/>
      </w:pPr>
      <w:r>
        <w:t>M04 Partnership Learning result → `M04-P4-WP06`; Learning Economy authorization/physical residuals → `M04-P4-WP04`.</w:t>
      </w:r>
    </w:p>
    <w:p>
      <w:pPr>
        <w:pStyle w:val="ListBullet"/>
      </w:pPr>
      <w:r>
        <w:t>M05 registration boundary → `M05-P4-WP02`; provider boundary → `M05-P4-WP04`.</w:t>
      </w:r>
    </w:p>
    <w:p>
      <w:pPr>
        <w:pStyle w:val="ListBullet"/>
      </w:pPr>
      <w:r>
        <w:t>M06 project media → `M06-P4-WP02`; Claim → Listing handoff → `M06-P4-WP04`.</w:t>
      </w:r>
    </w:p>
    <w:p>
      <w:pPr>
        <w:pStyle w:val="ListBullet"/>
      </w:pPr>
      <w:r>
        <w:t>M07 configuration authority → `M07-P4-WP02`.</w:t>
      </w:r>
    </w:p>
    <w:p>
      <w:pPr>
        <w:pStyle w:val="ListBullet"/>
      </w:pPr>
      <w:r>
        <w:t>M08 source event contract → `M08-P4-WP03`; no-mutation validation → `M08-P4-WP04`.</w:t>
      </w:r>
    </w:p>
    <w:p>
      <w:pPr>
        <w:pStyle w:val="ListBullet"/>
      </w:pPr>
      <w:r>
        <w:t>M09 Static Public Content/Announcement/Promotion → `M09-P4-WP03`; system configuration → `M09-P4-WP02`.</w:t>
      </w:r>
    </w:p>
    <w:p>
      <w:pPr>
        <w:pStyle w:val="ListBullet"/>
      </w:pPr>
      <w:r>
        <w:t>M10 Permission Preset → `M10-P4-WP02`; RLS evidence → `M10-P4-WP04`.</w:t>
      </w:r>
    </w:p>
    <w:p>
      <w:pPr>
        <w:pStyle w:val="ListBullet"/>
      </w:pPr>
      <w:r>
        <w:t>M11 indexing → `M11-P4-WP02`; public surface registry/measurement remain discovery-only.</w:t>
      </w:r>
    </w:p>
    <w:p>
      <w:pPr>
        <w:pStyle w:val="ListBullet"/>
      </w:pPr>
      <w:r>
        <w:t>M12 organization-context boundaries → `M12-P4-WP03/WP04`.</w:t>
      </w:r>
    </w:p>
    <w:p>
      <w:pPr>
        <w:pStyle w:val="ListBullet"/>
      </w:pPr>
      <w:r>
        <w:t>M13 Provider Catalogue → `M13-P4-WP01`; BYOK lifecycle → `M13-P4-WP02`; exact lifecycle/API/RLS residuals remain controlled.</w:t>
      </w:r>
    </w:p>
    <w:p>
      <w:pPr>
        <w:pStyle w:val="ListBullet"/>
      </w:pPr>
      <w:r>
        <w:t>M15 Award provenance/presentation → `M15-P4-WP04`.</w:t>
      </w:r>
    </w:p>
    <w:p>
      <w:pPr>
        <w:pStyle w:val="Heading1"/>
      </w:pPr>
      <w:r>
        <w:t>4. Core v1.3 P4 Scope Verdict</w:t>
      </w:r>
    </w:p>
    <w:p>
      <w:pPr>
        <w:pStyle w:val="Heading2"/>
      </w:pPr>
      <w:r>
        <w:t>Result: NO CORE MUTATION REQUIRED; SUCCESSOR P4 TRACEABILITY WAS INCOMPLETE AND IS NOW CORRECTED</w:t>
      </w:r>
    </w:p>
    <w:p>
      <w:r>
        <w:t>Core v1.3 itself remains immutable/read-only.</w:t>
      </w:r>
    </w:p>
    <w:p>
      <w:r>
        <w:t>The uploaded Core execution-specification precedent contains explicit detailed execution boundaries:</w:t>
      </w:r>
    </w:p>
    <w:p>
      <w:pPr>
        <w:pStyle w:val="ListBullet"/>
      </w:pPr>
      <w:r>
        <w:t>M04-A…M04-F + M04-S Session;</w:t>
      </w:r>
    </w:p>
    <w:p>
      <w:pPr>
        <w:pStyle w:val="ListBullet"/>
      </w:pPr>
      <w:r>
        <w:t>M10-A Authorization + M10-B RLS Evidence;</w:t>
      </w:r>
    </w:p>
    <w:p>
      <w:pPr>
        <w:pStyle w:val="ListBullet"/>
      </w:pPr>
      <w:r>
        <w:t>M14-A…M14-G;</w:t>
      </w:r>
    </w:p>
    <w:p>
      <w:pPr>
        <w:pStyle w:val="ListBullet"/>
      </w:pPr>
      <w:r>
        <w:t>M15-A…M15-F.</w:t>
      </w:r>
    </w:p>
    <w:p>
      <w:r>
        <w:t>P4 v1.2 did not expose all of these Core execution units in a dedicated traceability artifact. P4 v1.3 therefore adds an explicit Core 6.25 decomposition-to-current-P4 routing matrix. This preserves the Core detail without modifying Core v1.3.</w:t>
      </w:r>
    </w:p>
    <w:p>
      <w:pPr>
        <w:pStyle w:val="Heading1"/>
      </w:pPr>
      <w:r>
        <w:t>5. Controlled Findings Found in Uploaded Sources</w:t>
      </w:r>
    </w:p>
    <w:p>
      <w:r>
        <w:t>The current uploaded STEP11-D controlled finding register contains D13-01 through D13-23. These include:</w:t>
      </w:r>
    </w:p>
    <w:p>
      <w:pPr>
        <w:pStyle w:val="ListBullet"/>
      </w:pPr>
      <w:r>
        <w:t>M14→M03 commercial invocation contract gap;</w:t>
      </w:r>
    </w:p>
    <w:p>
      <w:pPr>
        <w:pStyle w:val="ListBullet"/>
      </w:pPr>
      <w:r>
        <w:t>M14→M04 purchased-LP handoff gap;</w:t>
      </w:r>
    </w:p>
    <w:p>
      <w:pPr>
        <w:pStyle w:val="ListBullet"/>
      </w:pPr>
      <w:r>
        <w:t>M04→M15 endpoint field traceability gap;</w:t>
      </w:r>
    </w:p>
    <w:p>
      <w:pPr>
        <w:pStyle w:val="ListBullet"/>
      </w:pPr>
      <w:r>
        <w:t>M07/M09/M10 DBR authorization wording conflict;</w:t>
      </w:r>
    </w:p>
    <w:p>
      <w:pPr>
        <w:pStyle w:val="ListBullet"/>
      </w:pPr>
      <w:r>
        <w:t>M11/M14/M09 Promotion/discovery administration split;</w:t>
      </w:r>
    </w:p>
    <w:p>
      <w:pPr>
        <w:pStyle w:val="ListBullet"/>
      </w:pPr>
      <w:r>
        <w:t>M10 Permission Preset API/RBAC gap;</w:t>
      </w:r>
    </w:p>
    <w:p>
      <w:pPr>
        <w:pStyle w:val="ListBullet"/>
      </w:pPr>
      <w:r>
        <w:t>M08 Notification State operation gap;</w:t>
      </w:r>
    </w:p>
    <w:p>
      <w:pPr>
        <w:pStyle w:val="ListBullet"/>
      </w:pPr>
      <w:r>
        <w:t>M09 Notification Template/Content Configuration contract gap;</w:t>
      </w:r>
    </w:p>
    <w:p>
      <w:pPr>
        <w:pStyle w:val="ListBullet"/>
      </w:pPr>
      <w:r>
        <w:t>M13 Provider Catalogue mutation route gap;</w:t>
      </w:r>
    </w:p>
    <w:p>
      <w:pPr>
        <w:pStyle w:val="ListBullet"/>
      </w:pPr>
      <w:r>
        <w:t>M13 force-revoke/disconnect/disable route gap;</w:t>
      </w:r>
    </w:p>
    <w:p>
      <w:pPr>
        <w:pStyle w:val="ListBullet"/>
      </w:pPr>
      <w:r>
        <w:t>M13 connection lifecycle gap;</w:t>
      </w:r>
    </w:p>
    <w:p>
      <w:pPr>
        <w:pStyle w:val="ListBullet"/>
      </w:pPr>
      <w:r>
        <w:t>admin report/audit authorization wording gaps;</w:t>
      </w:r>
    </w:p>
    <w:p>
      <w:pPr>
        <w:pStyle w:val="ListBullet"/>
      </w:pPr>
      <w:r>
        <w:t>physical/RLS residuals;</w:t>
      </w:r>
    </w:p>
    <w:p>
      <w:pPr>
        <w:pStyle w:val="ListBullet"/>
      </w:pPr>
      <w:r>
        <w:t>exact permission-ID evidence gap;</w:t>
      </w:r>
    </w:p>
    <w:p>
      <w:pPr>
        <w:pStyle w:val="ListBullet"/>
      </w:pPr>
      <w:r>
        <w:t>runtime/transaction/concurrency/replay gap;</w:t>
      </w:r>
    </w:p>
    <w:p>
      <w:pPr>
        <w:pStyle w:val="ListBullet"/>
      </w:pPr>
      <w:r>
        <w:t>HTTP status/schema/pagination/rate-limit/idempotency/content-negotiation gaps;</w:t>
      </w:r>
    </w:p>
    <w:p>
      <w:pPr>
        <w:pStyle w:val="ListBullet"/>
      </w:pPr>
      <w:r>
        <w:t>API→DB/User Flow/AEP endpoint-level traceability gap.</w:t>
      </w:r>
    </w:p>
    <w:p>
      <w:r>
        <w:t>These are now explicitly routed as **controlled P4 execution/evidence obligations**, not falsely marked as resolved. Unsupported endpoint IDs, permission IDs, schema names, SQL and runtime results remain un-invented.</w:t>
      </w:r>
    </w:p>
    <w:p>
      <w:pPr>
        <w:pStyle w:val="Heading1"/>
      </w:pPr>
      <w:r>
        <w:t>6. Core Authority Boundaries Preserved</w:t>
      </w:r>
    </w:p>
    <w:p>
      <w:pPr>
        <w:pStyle w:val="ListBullet"/>
      </w:pPr>
      <w:r>
        <w:t>M03 owns Listing/Lifecycle/Refresh action.</w:t>
      </w:r>
    </w:p>
    <w:p>
      <w:pPr>
        <w:pStyle w:val="ListBullet"/>
      </w:pPr>
      <w:r>
        <w:t>M14 owns Commercial/Payment/Entitlement/Quota/Promotion and Refresh allowance.</w:t>
      </w:r>
    </w:p>
    <w:p>
      <w:pPr>
        <w:pStyle w:val="ListBullet"/>
      </w:pPr>
      <w:r>
        <w:t>M04 owns Learning/Learning Economy/Session and evidence production.</w:t>
      </w:r>
    </w:p>
    <w:p>
      <w:pPr>
        <w:pStyle w:val="ListBullet"/>
      </w:pPr>
      <w:r>
        <w:t>M15 owns Qualification/Evidence/Award.</w:t>
      </w:r>
    </w:p>
    <w:p>
      <w:pPr>
        <w:pStyle w:val="ListBullet"/>
      </w:pPr>
      <w:r>
        <w:t>M10 owns Authorization/RBAC/Scope/RLS.</w:t>
      </w:r>
    </w:p>
    <w:p>
      <w:pPr>
        <w:pStyle w:val="ListBullet"/>
      </w:pPr>
      <w:r>
        <w:t>M11 owns SEO/Discovery/Analytics only.</w:t>
      </w:r>
    </w:p>
    <w:p>
      <w:pPr>
        <w:pStyle w:val="ListBullet"/>
      </w:pPr>
      <w:r>
        <w:t>M08 is projection/notification only.</w:t>
      </w:r>
    </w:p>
    <w:p>
      <w:pPr>
        <w:pStyle w:val="ListBullet"/>
      </w:pPr>
      <w:r>
        <w:t>M09 is bounded Administration/Configuration/Audit.</w:t>
      </w:r>
    </w:p>
    <w:p>
      <w:pPr>
        <w:pStyle w:val="ListBullet"/>
      </w:pPr>
      <w:r>
        <w:t>M13 owns Provider Catalogue/BYOK.</w:t>
      </w:r>
    </w:p>
    <w:p>
      <w:pPr>
        <w:pStyle w:val="ListBullet"/>
      </w:pPr>
      <w:r>
        <w:t>M12 owns Organization/Membership/Context.</w:t>
      </w:r>
    </w:p>
    <w:p>
      <w:pPr>
        <w:pStyle w:val="Heading1"/>
      </w:pPr>
      <w:r>
        <w:t>7. P4 Execution Unit</w:t>
      </w:r>
    </w:p>
    <w:p>
      <w:r>
        <w:t>**Module → Work Package → Atomic Task → Dependency → Acceptance → Evidence → Checkpoint → Handoff**</w:t>
      </w:r>
    </w:p>
    <w:p>
      <w:r>
        <w:t>P4 remains architecture/specification only. It does not perform physical implementation.</w:t>
      </w:r>
    </w:p>
    <w:p>
      <w:pPr>
        <w:pStyle w:val="Heading1"/>
      </w:pPr>
      <w:r>
        <w:t>8. Evidence Boundary</w:t>
      </w:r>
    </w:p>
    <w:p>
      <w:r>
        <w:t>No API/DB/RLS/runtime/production completion is claimed. All controlled findings remain evidence-gated downstream where the uploaded sources do not provide sufficient physical/runtime proof.</w:t>
      </w:r>
    </w:p>
    <w:p>
      <w:pPr>
        <w:pStyle w:val="Heading1"/>
      </w:pPr>
      <w:r>
        <w:t>9. Final Gate</w:t>
      </w:r>
    </w:p>
    <w:p>
      <w:r>
        <w:t>**P4 v1.3 = PASS WITH CONTROLLED RESIDUALS.**</w:t>
      </w:r>
    </w:p>
    <w:p>
      <w:r>
        <w:t>The prior v1.2 is superseded by this full rebuild.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