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P8 Execution Pack Audit</w:t>
      </w:r>
    </w:p>
    <w:p>
      <w:r>
        <w:t>FULL REBUILD v1.0</w:t>
      </w:r>
    </w:p>
    <w:p>
      <w:r>
        <w:t>Material finding: P6 v1.1 lacked explicit Core-finding-to-P4-WP routing. P6 was reopened and fully rebuilt as v1.2.</w:t>
      </w:r>
    </w:p>
    <w:p>
      <w:r>
        <w:t>Final combined coverage: 15/15 modules; 57/57 obligations; 62/62 WPs; 223/223 Core findings; 223/223 Core-to-WP routing.</w:t>
      </w:r>
    </w:p>
    <w:p>
      <w:r>
        <w:t>Core v1.3 remains immutable/read-only. 36 controlled Core findings and 47 prior controlled residuals remain evidence-gated.</w:t>
      </w:r>
    </w:p>
    <w:p>
      <w:r>
        <w:t>Second deep scan: PASS — no further material correction required.</w:t>
      </w:r>
    </w:p>
    <w:p>
      <w:r>
        <w:t>Final gate: PASS WITH CONTROLLED RESIDUALS.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