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P10 AI DEVELOPMENT BLUEPRINT</w:t>
      </w:r>
    </w:p>
    <w:p>
      <w:r>
        <w:t>FULL VERSION REBUILD v1.2 — 2026-09-08</w:t>
      </w:r>
    </w:p>
    <w:p>
      <w:pPr>
        <w:pStyle w:val="Heading1"/>
      </w:pPr>
      <w:r>
        <w:t>Result</w:t>
      </w:r>
    </w:p>
    <w:p>
      <w:r>
        <w:t>PASS WITH CONTROLLED RESIDUALS</w:t>
      </w:r>
    </w:p>
    <w:p>
      <w:pPr>
        <w:pStyle w:val="Heading1"/>
      </w:pPr>
      <w:r>
        <w:t>Scope</w:t>
      </w:r>
    </w:p>
    <w:p>
      <w:r>
        <w:t>AI-development operationalization of Core W4-02A.6.31 using accepted P9 v1.1.</w:t>
      </w:r>
    </w:p>
    <w:p>
      <w:pPr>
        <w:pStyle w:val="Heading1"/>
      </w:pPr>
      <w:r>
        <w:t>Coverage</w:t>
      </w:r>
    </w:p>
    <w:p>
      <w:r>
        <w:t>15/15 modules; 57/57 P9 obligations; 62/62 WPs; 223/223 Core findings; 30/30 Core 6.30 guardrails; 34/34 Core 6.31 sections; 47/47 controlled residuals.</w:t>
      </w:r>
    </w:p>
    <w:p>
      <w:pPr>
        <w:pStyle w:val="Heading1"/>
      </w:pPr>
      <w:r>
        <w:t>Correction</w:t>
      </w:r>
    </w:p>
    <w:p>
      <w:r>
        <w:t>v1.2 explicitly enumerates STOP-01..10 and states the exact M10 Permission Preset governance model.</w:t>
      </w:r>
    </w:p>
    <w:p>
      <w:pPr>
        <w:pStyle w:val="Heading1"/>
      </w:pPr>
      <w:r>
        <w:t>Boundary</w:t>
      </w:r>
    </w:p>
    <w:p>
      <w:r>
        <w:t>Core v1.3 immutable/read-only; no runtime/production proof claimed.</w:t>
      </w:r>
    </w:p>
    <w:p>
      <w:pPr>
        <w:pStyle w:val="Heading1"/>
      </w:pPr>
      <w:r>
        <w:t>Deep scan</w:t>
      </w:r>
    </w:p>
    <w:p>
      <w:r>
        <w:t>First and second post-correction deep scans PASS.</w:t>
      </w:r>
    </w:p>
    <w:p>
      <w:pPr>
        <w:pStyle w:val="Heading1"/>
      </w:pPr>
      <w:r>
        <w:t>Controlled residual</w:t>
      </w:r>
    </w:p>
    <w:p>
      <w:r>
        <w:t>Governance Checklist v2.5 was not uploaded in this request and is not independently claimed as scanned.</w:t>
      </w:r>
    </w:p>
    <w:p>
      <w:pPr>
        <w:pStyle w:val="Heading1"/>
      </w:pPr>
      <w:r>
        <w:t>Explicit STOP rules</w:t>
      </w:r>
    </w:p>
    <w:p>
      <w:pPr>
        <w:pStyle w:val="ListBullet"/>
      </w:pPr>
      <w:r>
        <w:t>STOP-01 — Missing business decision</w:t>
      </w:r>
    </w:p>
    <w:p>
      <w:pPr>
        <w:pStyle w:val="ListBullet"/>
      </w:pPr>
      <w:r>
        <w:t>STOP-02 — Authority collision</w:t>
      </w:r>
    </w:p>
    <w:p>
      <w:pPr>
        <w:pStyle w:val="ListBullet"/>
      </w:pPr>
      <w:r>
        <w:t>STOP-03 — Physical contradiction</w:t>
      </w:r>
    </w:p>
    <w:p>
      <w:pPr>
        <w:pStyle w:val="ListBullet"/>
      </w:pPr>
      <w:r>
        <w:t>STOP-04 — Missing physical object</w:t>
      </w:r>
    </w:p>
    <w:p>
      <w:pPr>
        <w:pStyle w:val="ListBullet"/>
      </w:pPr>
      <w:r>
        <w:t>STOP-05 — Missing API contract</w:t>
      </w:r>
    </w:p>
    <w:p>
      <w:pPr>
        <w:pStyle w:val="ListBullet"/>
      </w:pPr>
      <w:r>
        <w:t>STOP-06 — Missing permission/scope</w:t>
      </w:r>
    </w:p>
    <w:p>
      <w:pPr>
        <w:pStyle w:val="ListBullet"/>
      </w:pPr>
      <w:r>
        <w:t>STOP-07 — Provider ambiguity</w:t>
      </w:r>
    </w:p>
    <w:p>
      <w:pPr>
        <w:pStyle w:val="ListBullet"/>
      </w:pPr>
      <w:r>
        <w:t>STOP-08 — Unsupported runtime claim</w:t>
      </w:r>
    </w:p>
    <w:p>
      <w:pPr>
        <w:pStyle w:val="ListBullet"/>
      </w:pPr>
      <w:r>
        <w:t>STOP-09 — Scope expansion</w:t>
      </w:r>
    </w:p>
    <w:p>
      <w:pPr>
        <w:pStyle w:val="ListBullet"/>
      </w:pPr>
      <w:r>
        <w:t>STOP-10 — Historical resurrection</w:t>
      </w:r>
    </w:p>
    <w:p>
      <w:pPr>
        <w:pStyle w:val="Heading1"/>
      </w:pPr>
      <w:r>
        <w:t>Exact M01–M15 AI context</w:t>
      </w:r>
    </w:p>
    <w:p>
      <w:pPr>
        <w:pStyle w:val="ListBullet"/>
      </w:pPr>
      <w:r>
        <w:t>M01: Identity/authentication; Conditional KTP Deferred Flow; successful OTP must not default to Pending Review/approval; KTP is eligibility/requirement, not RBAC permission; verification docs private.</w:t>
      </w:r>
    </w:p>
    <w:p>
      <w:pPr>
        <w:pStyle w:val="ListBullet"/>
      </w:pPr>
      <w:r>
        <w:t>M02: Profile/review; semantic field/profile visibility; KTP private lifecycle; profile visibility remains distinct from authorization/ownership.</w:t>
      </w:r>
    </w:p>
    <w:p>
      <w:pPr>
        <w:pStyle w:val="ListBullet"/>
      </w:pPr>
      <w:r>
        <w:t>M03: Listing/Refresh action authority; Direct Publish; field locks; Sold/Rented/Suspended states; refresh allowance consumed from M14; Listing lifecycle remains M03.</w:t>
      </w:r>
    </w:p>
    <w:p>
      <w:pPr>
        <w:pStyle w:val="ListBullet"/>
      </w:pPr>
      <w:r>
        <w:t>M04: Learning Economy free-to-learn/LP; Learning Path; Session; evidence production; Session remains Learning; LP transaction/provenance; M15 consumes evidence.</w:t>
      </w:r>
    </w:p>
    <w:p>
      <w:pPr>
        <w:pStyle w:val="ListBullet"/>
      </w:pPr>
      <w:r>
        <w:t>M05: Event/Registration; Event lifecycle remains M05; Event Registration distinct from Learning Session Enrollment.</w:t>
      </w:r>
    </w:p>
    <w:p>
      <w:pPr>
        <w:pStyle w:val="ListBullet"/>
      </w:pPr>
      <w:r>
        <w:t>M06: Developer/Project/Marketing Kit/Claim; company logo; free-text Tentang Developer; Project compatible source for Listing; Marketing Kit: Developer own-scope upload/edit/delete/view; Admin/Superadmin All; Agent/Buyer/Manager/Partner View.</w:t>
      </w:r>
    </w:p>
    <w:p>
      <w:pPr>
        <w:pStyle w:val="ListBullet"/>
      </w:pPr>
      <w:r>
        <w:t>M07: DBR authority; governed/configurable formula/band/bank parameters; historical outcomes preserved; do not hard-code configurable values.</w:t>
      </w:r>
    </w:p>
    <w:p>
      <w:pPr>
        <w:pStyle w:val="ListBullet"/>
      </w:pPr>
      <w:r>
        <w:t>M08: Dashboard/Notification projection only; source-domain mutation is prohibited; canonical source remains upstream.</w:t>
      </w:r>
    </w:p>
    <w:p>
      <w:pPr>
        <w:pStyle w:val="ListBullet"/>
      </w:pPr>
      <w:r>
        <w:t>M09: Admin/config/audit with bounded authority; Static Public Content and Announcement/Promotion lifecycle/configuration by M09 or applicable authoritative domain.</w:t>
      </w:r>
    </w:p>
    <w:p>
      <w:pPr>
        <w:pStyle w:val="ListBullet"/>
      </w:pPr>
      <w:r>
        <w:t>M10: Authorization/RBAC/RLS authority; Role = actor grouping; Role Permission = baseline/default permission matrix; Permission Preset = optional configurable authorization configuration targeted to an existing Role only; never a new role and never outside the established role baseline/governance.</w:t>
      </w:r>
    </w:p>
    <w:p>
      <w:pPr>
        <w:pStyle w:val="ListBullet"/>
      </w:pPr>
      <w:r>
        <w:t>M11: SEO/discovery/analytics; mandatory public surfaces: Homepage, Listing, Agent, Organization, Developer/Project, Event, Learning, Learning Session, Static Public Content, Announcement/Promotion; measurement/discovery only.</w:t>
      </w:r>
    </w:p>
    <w:p>
      <w:pPr>
        <w:pStyle w:val="ListBullet"/>
      </w:pPr>
      <w:r>
        <w:t>M12: Organization/membership/context; membership is distinct from permission, ownership, public visibility, commercial entitlement and Host authority.</w:t>
      </w:r>
    </w:p>
    <w:p>
      <w:pPr>
        <w:pStyle w:val="ListBullet"/>
      </w:pPr>
      <w:r>
        <w:t>M13: AI/BYOK/provider catalogue; Provider Catalogue Superadmin-only; BYOK Agent/User own; secrets server-side; provider adapter boundary.</w:t>
      </w:r>
    </w:p>
    <w:p>
      <w:pPr>
        <w:pStyle w:val="ListBullet"/>
      </w:pPr>
      <w:r>
        <w:t>M14: Commercial/payment/entitlement/quota/promotion; Q01–Q64 all M14, including Q40/Q54/Q61/Q62; M03 consumes listing/refresh allowance; payment verification/fulfillment/reconciliation/idempotency.</w:t>
      </w:r>
    </w:p>
    <w:p>
      <w:pPr>
        <w:pStyle w:val="ListBullet"/>
      </w:pPr>
      <w:r>
        <w:t>M15: Qualification/evidence/Award; M04 evidence is consumed; Award remains M15; Q01–Q64 and specifically Q40/Q54/Q61/Q62 are not M15.</w:t>
      </w:r>
    </w:p>
    <w:p>
      <w:pPr>
        <w:pStyle w:val="Heading1"/>
      </w:pPr>
      <w:r>
        <w:t>Final gate</w:t>
      </w:r>
    </w:p>
    <w:p>
      <w:r>
        <w:t>P10 RESULT = PASS WITH CONTROLLED RESIDUALS. P11 READY WITH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