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P16 README Current Baseline</w:t>
      </w:r>
    </w:p>
    <w:p>
      <w:r>
        <w:t>Version v1.1 — FULL VERSION REBUILD — CLOSED / PASS WITH CONTROLLED RESIDUALS</w:t>
      </w:r>
    </w:p>
    <w:p>
      <w:pPr>
        <w:pStyle w:val="Heading1"/>
      </w:pPr>
      <w:r>
        <w:t>Purpose</w:t>
      </w:r>
    </w:p>
    <w:p>
      <w:r>
        <w:t>Final human-readable navigation/materialization layer after P1–P15; no new semantic requirement and no Core mutation.</w:t>
      </w:r>
    </w:p>
    <w:p>
      <w:pPr>
        <w:pStyle w:val="Heading1"/>
      </w:pPr>
      <w:r>
        <w:t>Scope</w:t>
      </w:r>
    </w:p>
    <w:p>
      <w:r>
        <w:t>Exactly the five uploaded roots in this review; 15/15 M01–M15, 57/57 obligations, 45/45 Core source entries, 17/17 Core IP packages, 47/47 controlled residuals.</w:t>
      </w:r>
    </w:p>
    <w:p>
      <w:pPr>
        <w:pStyle w:val="Heading1"/>
      </w:pPr>
      <w:r>
        <w:t>Corrected findings</w:t>
      </w:r>
    </w:p>
    <w:p>
      <w:r>
        <w:t>Three material P16-v1.0 findings corrected: exact uploaded corpus binding, explicit Core IP-00..IP-16 register, and authority wording.</w:t>
      </w:r>
    </w:p>
    <w:p>
      <w:pPr>
        <w:pStyle w:val="Heading1"/>
      </w:pPr>
      <w:r>
        <w:t>Core boundary</w:t>
      </w:r>
    </w:p>
    <w:p>
      <w:r>
        <w:t>Core v1.3 remains immutable/frozen/read-only. P16 does not update it in place; successor relationship is recorded.</w:t>
      </w:r>
    </w:p>
    <w:p>
      <w:pPr>
        <w:pStyle w:val="Heading1"/>
      </w:pPr>
      <w:r>
        <w:t>Evidence boundary</w:t>
      </w:r>
    </w:p>
    <w:p>
      <w:r>
        <w:t>Physical/runtime/API/RLS/production proof remains evidence-gated.</w:t>
      </w:r>
    </w:p>
    <w:p>
      <w:pPr>
        <w:pStyle w:val="Heading1"/>
      </w:pPr>
      <w:r>
        <w:t>Second deep scan</w:t>
      </w:r>
    </w:p>
    <w:p>
      <w:r>
        <w:t>PASS — NO ADDITIONAL MATERIAL FINDING.</w:t>
      </w:r>
    </w:p>
    <w:p>
      <w:pPr>
        <w:pStyle w:val="Heading1"/>
      </w:pPr>
      <w:r>
        <w:t>M01–M15</w:t>
      </w:r>
    </w:p>
    <w:p>
      <w:pPr>
        <w:pStyle w:val="ListBullet"/>
      </w:pPr>
      <w:r>
        <w:t>M01: Identity authority | 4 obligations | Conditional KTP Deferred Flow; successful OTP does not default to Pending Review; KTP docs private/non-public; KTP eligibility/requirement is not RBAC permission.</w:t>
      </w:r>
    </w:p>
    <w:p>
      <w:pPr>
        <w:pStyle w:val="ListBullet"/>
      </w:pPr>
      <w:r>
        <w:t>M02: Profile/review authority | 4 obligations | Semantic field/profile visibility; KTP private lifecycle; visibility is distinct from RBAC.</w:t>
      </w:r>
    </w:p>
    <w:p>
      <w:pPr>
        <w:pStyle w:val="ListBullet"/>
      </w:pPr>
      <w:r>
        <w:t>M03: Listing + Refresh action/eligibility authority | 9 obligations | M03 owns Listing/Refresh lifecycle; Direct Publish; field locks; Sold/Rented/Suspended; consumes M14 refresh allowance.</w:t>
      </w:r>
    </w:p>
    <w:p>
      <w:pPr>
        <w:pStyle w:val="ListBullet"/>
      </w:pPr>
      <w:r>
        <w:t>M04: Learning/session/evidence-production authority | 3 obligations | Free-to-learn Learning Economy/LP; Learning Path; Learning Session; evidence production/provenance; M15 consumes evidence.</w:t>
      </w:r>
    </w:p>
    <w:p>
      <w:pPr>
        <w:pStyle w:val="ListBullet"/>
      </w:pPr>
      <w:r>
        <w:t>M05: Event/registration authority | 2 obligations | Event/Registration domain; distinct from Learning Session/Enrollment.</w:t>
      </w:r>
    </w:p>
    <w:p>
      <w:pPr>
        <w:pStyle w:val="ListBullet"/>
      </w:pPr>
      <w:r>
        <w:t>M06: Developer/project/claim authority | 5 obligations | Developer company logo + Tentang Developer; Project compatible with Listing source; Marketing Kit scoped permissions.</w:t>
      </w:r>
    </w:p>
    <w:p>
      <w:pPr>
        <w:pStyle w:val="ListBullet"/>
      </w:pPr>
      <w:r>
        <w:t>M07: DBR authority | 2 obligations | DBR authority retained; configurable DBR formula/band/bank parameters and historical outcomes.</w:t>
      </w:r>
    </w:p>
    <w:p>
      <w:pPr>
        <w:pStyle w:val="ListBullet"/>
      </w:pPr>
      <w:r>
        <w:t>M08: Projection/notification authority | 2 obligations | Dashboard/Notification is projection-only; no business mutation authority.</w:t>
      </w:r>
    </w:p>
    <w:p>
      <w:pPr>
        <w:pStyle w:val="ListBullet"/>
      </w:pPr>
      <w:r>
        <w:t>M09: Administrative/configuration authority within underlying domain grants | 4 obligations | Bounded administration/configuration/audit; Static Public Content and Announcement/Promotion lifecycle/configuration stays with M09 or applicable authoritative domain.</w:t>
      </w:r>
    </w:p>
    <w:p>
      <w:pPr>
        <w:pStyle w:val="ListBullet"/>
      </w:pPr>
      <w:r>
        <w:t>M10: Authorization authority | 3 obligations | Role = actor grouping; Role Permission = baseline; Permission Preset = optional configurable authorization for an existing role, never a new role/outside baseline.</w:t>
      </w:r>
    </w:p>
    <w:p>
      <w:pPr>
        <w:pStyle w:val="ListBullet"/>
      </w:pPr>
      <w:r>
        <w:t>M11: Public discovery/SEO/measurement layer; not source-domain business authority | 4 obligations | SEO/discovery/measurement only; 10 mandatory public surfaces including Static Public Content and Announcement/Promotion.</w:t>
      </w:r>
    </w:p>
    <w:p>
      <w:pPr>
        <w:pStyle w:val="ListBullet"/>
      </w:pPr>
      <w:r>
        <w:t>M12: Organization/membership/context authority | 3 obligations | Membership distinct from permission, ownership, public visibility, commercial entitlement, and Host authority.</w:t>
      </w:r>
    </w:p>
    <w:p>
      <w:pPr>
        <w:pStyle w:val="ListBullet"/>
      </w:pPr>
      <w:r>
        <w:t>M13: AI/BYOK/provider domain authority | 4 obligations | Provider Catalogue Superadmin-only; BYOK own scope; server-side secrets.</w:t>
      </w:r>
    </w:p>
    <w:p>
      <w:pPr>
        <w:pStyle w:val="ListBullet"/>
      </w:pPr>
      <w:r>
        <w:t>M14: Commercial/payment/entitlement/quota/promotion authority | 5 obligations | Q01–Q64 all belong to M14, including Q40/Q54/Q61/Q62; commercial/payment/entitlement/quota/promotion authority; M03 consumes allowance.</w:t>
      </w:r>
    </w:p>
    <w:p>
      <w:pPr>
        <w:pStyle w:val="ListBullet"/>
      </w:pPr>
      <w:r>
        <w:t>M15: Qualification/Award authority; consumes governed upstream evidence | 3 obligations | Qualification/Award authority; consumes upstream evidence; excludes all M14 Q01–Q64 including Q40/Q54/Q61/Q62.</w:t>
      </w:r>
    </w:p>
    <w:p>
      <w:pPr>
        <w:pStyle w:val="Heading1"/>
      </w:pPr>
      <w:r>
        <w:t>Core IP-00..IP-16</w:t>
      </w:r>
    </w:p>
    <w:p>
      <w:pPr>
        <w:pStyle w:val="ListBullet"/>
      </w:pPr>
      <w:r>
        <w:t>IP-00: Foundation / Execution Readiness | No semantic module; documentation/environment readiness</w:t>
      </w:r>
    </w:p>
    <w:p>
      <w:pPr>
        <w:pStyle w:val="ListBullet"/>
      </w:pPr>
      <w:r>
        <w:t>IP-01: Identity + Authorization Foundation | M01 + M10</w:t>
      </w:r>
    </w:p>
    <w:p>
      <w:pPr>
        <w:pStyle w:val="ListBullet"/>
      </w:pPr>
      <w:r>
        <w:t>IP-02: Profile + Organization Context | M02 + M12</w:t>
      </w:r>
    </w:p>
    <w:p>
      <w:pPr>
        <w:pStyle w:val="ListBullet"/>
      </w:pPr>
      <w:r>
        <w:t>IP-03: Developer / Project | M06</w:t>
      </w:r>
    </w:p>
    <w:p>
      <w:pPr>
        <w:pStyle w:val="ListBullet"/>
      </w:pPr>
      <w:r>
        <w:t>IP-04: Listing | M03</w:t>
      </w:r>
    </w:p>
    <w:p>
      <w:pPr>
        <w:pStyle w:val="ListBullet"/>
      </w:pPr>
      <w:r>
        <w:t>IP-05: Event / Calendar | M05</w:t>
      </w:r>
    </w:p>
    <w:p>
      <w:pPr>
        <w:pStyle w:val="ListBullet"/>
      </w:pPr>
      <w:r>
        <w:t>IP-06: Learning Core | M04 Learning Core + Economy</w:t>
      </w:r>
    </w:p>
    <w:p>
      <w:pPr>
        <w:pStyle w:val="ListBullet"/>
      </w:pPr>
      <w:r>
        <w:t>IP-07: Commercial / Payment | M14</w:t>
      </w:r>
    </w:p>
    <w:p>
      <w:pPr>
        <w:pStyle w:val="ListBullet"/>
      </w:pPr>
      <w:r>
        <w:t>IP-08: Learning Session Extension | M04 Session</w:t>
      </w:r>
    </w:p>
    <w:p>
      <w:pPr>
        <w:pStyle w:val="ListBullet"/>
      </w:pPr>
      <w:r>
        <w:t>IP-09: Awarding | M15</w:t>
      </w:r>
    </w:p>
    <w:p>
      <w:pPr>
        <w:pStyle w:val="ListBullet"/>
      </w:pPr>
      <w:r>
        <w:t>IP-10: DBR | M07</w:t>
      </w:r>
    </w:p>
    <w:p>
      <w:pPr>
        <w:pStyle w:val="ListBullet"/>
      </w:pPr>
      <w:r>
        <w:t>IP-11: Dashboard / Notification | M08</w:t>
      </w:r>
    </w:p>
    <w:p>
      <w:pPr>
        <w:pStyle w:val="ListBullet"/>
      </w:pPr>
      <w:r>
        <w:t>IP-12: Admin / Configuration / Audit | M09</w:t>
      </w:r>
    </w:p>
    <w:p>
      <w:pPr>
        <w:pStyle w:val="ListBullet"/>
      </w:pPr>
      <w:r>
        <w:t>IP-13: SEO / Analytics | M11</w:t>
      </w:r>
    </w:p>
    <w:p>
      <w:pPr>
        <w:pStyle w:val="ListBullet"/>
      </w:pPr>
      <w:r>
        <w:t>IP-14: AI BYOK | M13</w:t>
      </w:r>
    </w:p>
    <w:p>
      <w:pPr>
        <w:pStyle w:val="ListBullet"/>
      </w:pPr>
      <w:r>
        <w:t>IP-15: Cross-Domain Hardening | All canonical domains; not a new module</w:t>
      </w:r>
    </w:p>
    <w:p>
      <w:pPr>
        <w:pStyle w:val="ListBullet"/>
      </w:pPr>
      <w:r>
        <w:t>IP-16: Physical / Verification Handoff | Downstream physical/runtime handoff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