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b/>
          <w:kern w:val="2"/>
          <w:sz w:val="28"/>
          <w:lang w:val="en-US"/>
          <w14:ligatures w14:val="standardContextual"/>
        </w:rPr>
        <w:t>2-MAVZU:</w:t>
      </w:r>
      <w:r w:rsidRPr="001D2657">
        <w:rPr>
          <w:rFonts w:ascii="Times New Roman" w:eastAsia="Calibri" w:hAnsi="Times New Roman" w:cs="Times New Roman"/>
          <w:bCs/>
          <w:kern w:val="2"/>
          <w:sz w:val="28"/>
          <w:lang w:val="en-US"/>
          <w14:ligatures w14:val="standardContextual"/>
        </w:rPr>
        <w:t xml:space="preserve"> </w:t>
      </w:r>
      <w:r w:rsidRPr="001D2657">
        <w:rPr>
          <w:rFonts w:ascii="Times New Roman" w:eastAsia="Calibri" w:hAnsi="Times New Roman" w:cs="Times New Roman"/>
          <w:b/>
          <w:kern w:val="2"/>
          <w:sz w:val="28"/>
          <w:lang w:val="en-US"/>
          <w14:ligatures w14:val="standardContextual"/>
        </w:rPr>
        <w:t xml:space="preserve">Texnik ijodkorlik </w:t>
      </w:r>
      <w:proofErr w:type="gramStart"/>
      <w:r w:rsidRPr="001D2657">
        <w:rPr>
          <w:rFonts w:ascii="Times New Roman" w:eastAsia="Calibri" w:hAnsi="Times New Roman" w:cs="Times New Roman"/>
          <w:b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b/>
          <w:kern w:val="2"/>
          <w:sz w:val="28"/>
          <w:lang w:val="en-US"/>
          <w14:ligatures w14:val="standardContextual"/>
        </w:rPr>
        <w:t xml:space="preserve"> konstruksiyalashni o‘ziga xos xususiyatlari. Ilmiy ijodkorlik jarayonida mantiqiy </w:t>
      </w:r>
      <w:proofErr w:type="gramStart"/>
      <w:r w:rsidRPr="001D2657">
        <w:rPr>
          <w:rFonts w:ascii="Times New Roman" w:eastAsia="Calibri" w:hAnsi="Times New Roman" w:cs="Times New Roman"/>
          <w:b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b/>
          <w:kern w:val="2"/>
          <w:sz w:val="28"/>
          <w:lang w:val="en-US"/>
          <w14:ligatures w14:val="standardContextual"/>
        </w:rPr>
        <w:t xml:space="preserve"> intuitiv tafakkurning ahamiyati. 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Reja: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1.Texnik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ob’yektlarni konstruksiyalash va modellashtirish. 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2.Texnik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loyihalash va modellashtirishning metodlari. 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3.Badiiy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- modellashtirish va dizayn. 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“Texnik ijodkorlik va konstruksiyalash” fani bugungi texnologik jamiyatda ishlab chiqarish, loyihalash hamda muammolarni yaratish-bartaraf etish jarayonida katta ahamiyat kasb etadi.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O‘z navbatida, “ilmiy ijodkorlik” jarayonida mantiqiy (rational) va intuitiv (instinktiv) tafakkur usullari o‘zaro uyg‘un ishlaganda, konstruktorlik va dizayn sohalarida innovatsion yechimlar yaratiladi. O‘zbekistonda axborot-ta’lim maydoni, patent va ratsionalizatorlik faoliyati orqali texnik ijodkorlikni rivojlantirish maqsadi qo‘yilgan. 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 ijodkorlik — muayyan texnik masalani, konstruktsiyani yoki loyihani yaratish jarayonida ijodiy yondashuv bilan ishlash demakdir.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Masalan, konstruksiyalash (konstruktorlik) esa — buyum, tizim yoki modelni loyihalash, modellashtirish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amalga oshirish bosqichlarini o‘z ichiga oladi. </w:t>
      </w:r>
      <w:r w:rsidRPr="001D265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O‘ziga xos xususiyatlari:</w:t>
      </w:r>
    </w:p>
    <w:p w:rsidR="001D2657" w:rsidRPr="001D2657" w:rsidRDefault="001D2657" w:rsidP="001D2657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Muammoni aniqlash</w:t>
      </w: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: texnik ob’yekt konstruktsiyasida nimani yaratish zarurligi aniq belgilanadi;</w:t>
      </w:r>
    </w:p>
    <w:p w:rsidR="001D2657" w:rsidRPr="001D2657" w:rsidRDefault="001D2657" w:rsidP="001D2657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Ijodiy g‘oya</w:t>
      </w: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: standartlardan tashqari innovatsion yechimlar qidiriladi;</w:t>
      </w:r>
    </w:p>
    <w:p w:rsidR="001D2657" w:rsidRPr="001D2657" w:rsidRDefault="001D2657" w:rsidP="001D2657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Texnik–material asoslar</w:t>
      </w: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: konstruktsiya materiali, modellashtirish, ergonomika, xavfsizlik kabi jihatlar e’tiborda bo‘ladi;</w:t>
      </w:r>
    </w:p>
    <w:p w:rsidR="001D2657" w:rsidRPr="001D2657" w:rsidRDefault="001D2657" w:rsidP="001D2657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Chaqiriq </w:t>
      </w:r>
      <w:proofErr w:type="gramStart"/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cheklovlar bilan ishlash</w:t>
      </w: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: byudjet, ishlab chiqarish imkoniyatlari, norma-me’yorlar va patentlar hisobga olinadi.</w:t>
      </w:r>
    </w:p>
    <w:p w:rsidR="001D2657" w:rsidRPr="001D2657" w:rsidRDefault="001D2657" w:rsidP="001D2657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Ushbu jihatlar — texnik ijodkorlik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konstruksiyalash faoliyatini oddiy ijodiy jarayondan farqlantiradi.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Konstruksiyalash jarayoni tipik ravishda quyidagi bosqichlarni o‘z ichiga oladi:</w:t>
      </w:r>
    </w:p>
    <w:p w:rsidR="001D2657" w:rsidRPr="001D2657" w:rsidRDefault="001D2657" w:rsidP="001D2657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Muammoni aniqlash va talablarni belgilash</w:t>
      </w:r>
    </w:p>
    <w:p w:rsidR="001D2657" w:rsidRPr="001D2657" w:rsidRDefault="001D2657" w:rsidP="001D2657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G‘oyalarni ishlab chiqish, modellashtirish (sketch, CAD, prototip)</w:t>
      </w:r>
    </w:p>
    <w:p w:rsidR="001D2657" w:rsidRPr="001D2657" w:rsidRDefault="001D2657" w:rsidP="001D2657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 hujjatlar tayyorlash (chizmalar, spetsifikatsiyalar)</w:t>
      </w:r>
    </w:p>
    <w:p w:rsidR="001D2657" w:rsidRPr="001D2657" w:rsidRDefault="001D2657" w:rsidP="001D2657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Ishlab chiqarishga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real foydalanishga tayyorlash</w:t>
      </w: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Bu bosqichlar «texnik ijodkorlik» jarayoni ichida ijodiy va konstruktorlik jihatdan bir-birini to‘ldiradi. O‘zbekiston ta’lim dasturlarida ham shu tartib ko‘rsatilgan. 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O‘zbekistonda “O‘zbekiston Respublikasi Ta’lim Vazirligi” tomonidan tasdiqlangan o‘quv dasturlarda — “Texnik ijodkorlik va konstruksiyalash” fanining mazmuni, soatlari, kreditlari belgilanib, talaba bu sohada ijodiy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professional tayyorgarlikka ega bo‘lishi kutiladi. Shu bilan birga, xalqaro tadqiqotlarda texnik-konstruktorlik ijodkorlik sohasida mantiqiy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intuitiv tafakkurni uyg‘unlashtirish modeli muhokama qilingan. 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lastRenderedPageBreak/>
        <w:t xml:space="preserve">Jadval: Texnik ijodkorlik </w:t>
      </w:r>
      <w:proofErr w:type="gramStart"/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konstruksiyalashning asosiy jihatlari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3289"/>
        <w:gridCol w:w="6282"/>
      </w:tblGrid>
      <w:tr w:rsidR="001D2657" w:rsidRPr="001D2657" w:rsidTr="00DC2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657" w:rsidRPr="001D2657" w:rsidRDefault="001D2657" w:rsidP="001D2657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Jihat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657" w:rsidRPr="001D2657" w:rsidRDefault="001D2657" w:rsidP="001D26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Izoh</w:t>
            </w:r>
          </w:p>
          <w:p w:rsidR="001D2657" w:rsidRPr="001D2657" w:rsidRDefault="001D2657" w:rsidP="001D26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lang w:val="en-US"/>
              </w:rPr>
            </w:pPr>
          </w:p>
        </w:tc>
      </w:tr>
      <w:tr w:rsidR="001D2657" w:rsidRPr="001D2657" w:rsidTr="00DC2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  <w:hideMark/>
          </w:tcPr>
          <w:p w:rsidR="001D2657" w:rsidRPr="001D2657" w:rsidRDefault="001D2657" w:rsidP="001D2657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Muammoni orientatsiya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:rsidR="001D2657" w:rsidRPr="001D2657" w:rsidRDefault="001D2657" w:rsidP="001D26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Texnik tizim yoki konstruksiyani yaratishga qo‘yilgan konkret maqsad</w:t>
            </w:r>
          </w:p>
        </w:tc>
      </w:tr>
      <w:tr w:rsidR="001D2657" w:rsidRPr="001D2657" w:rsidTr="00DC2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2657" w:rsidRPr="001D2657" w:rsidRDefault="001D2657" w:rsidP="001D2657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Material-texnik cheklovlar</w:t>
            </w:r>
          </w:p>
        </w:tc>
        <w:tc>
          <w:tcPr>
            <w:tcW w:w="0" w:type="auto"/>
            <w:hideMark/>
          </w:tcPr>
          <w:p w:rsidR="001D2657" w:rsidRPr="001D2657" w:rsidRDefault="001D2657" w:rsidP="001D26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  <w:lang w:val="en-US"/>
              </w:rPr>
              <w:t>Ishlab chiqarish, material narxi, norma-me’yorlar</w:t>
            </w:r>
          </w:p>
        </w:tc>
      </w:tr>
      <w:tr w:rsidR="001D2657" w:rsidRPr="001D2657" w:rsidTr="00DC2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2657" w:rsidRPr="001D2657" w:rsidRDefault="001D2657" w:rsidP="001D2657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Innovatsion yondashuv</w:t>
            </w:r>
          </w:p>
        </w:tc>
        <w:tc>
          <w:tcPr>
            <w:tcW w:w="0" w:type="auto"/>
            <w:hideMark/>
          </w:tcPr>
          <w:p w:rsidR="001D2657" w:rsidRPr="001D2657" w:rsidRDefault="001D2657" w:rsidP="001D26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  <w:lang w:val="en-US"/>
              </w:rPr>
              <w:t>Standartdan chiqish, yangi yechimlarni topish</w:t>
            </w:r>
          </w:p>
        </w:tc>
      </w:tr>
      <w:tr w:rsidR="001D2657" w:rsidRPr="001D2657" w:rsidTr="00DC2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2657" w:rsidRPr="001D2657" w:rsidRDefault="001D2657" w:rsidP="001D2657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Loyihalash va modellashtirish</w:t>
            </w:r>
          </w:p>
        </w:tc>
        <w:tc>
          <w:tcPr>
            <w:tcW w:w="0" w:type="auto"/>
            <w:hideMark/>
          </w:tcPr>
          <w:p w:rsidR="001D2657" w:rsidRPr="001D2657" w:rsidRDefault="001D2657" w:rsidP="001D26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  <w:lang w:val="en-US"/>
              </w:rPr>
              <w:t>Sketch, CAD, prototip, 3D modellashtirish</w:t>
            </w:r>
          </w:p>
        </w:tc>
      </w:tr>
      <w:tr w:rsidR="001D2657" w:rsidRPr="001D2657" w:rsidTr="00DC2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2657" w:rsidRPr="001D2657" w:rsidRDefault="001D2657" w:rsidP="001D2657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Testlash va realizatsiya</w:t>
            </w:r>
          </w:p>
        </w:tc>
        <w:tc>
          <w:tcPr>
            <w:tcW w:w="0" w:type="auto"/>
            <w:hideMark/>
          </w:tcPr>
          <w:p w:rsidR="001D2657" w:rsidRPr="001D2657" w:rsidRDefault="001D2657" w:rsidP="001D26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  <w:lang w:val="en-US"/>
              </w:rPr>
              <w:t>Ishlab chiqarish, sinov, foydalanishga tayyorlash</w:t>
            </w:r>
          </w:p>
        </w:tc>
      </w:tr>
    </w:tbl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1D2657" w:rsidRPr="001D2657" w:rsidRDefault="001D2657" w:rsidP="001D2657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Ilmiy ijodkorlik jarayonida mantiqiy </w:t>
      </w:r>
      <w:proofErr w:type="gramStart"/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intuitiv tafakkurning ahamiyati.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Mantiqiy tafakkur —</w:t>
      </w: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ma’lumotlarni tartibga solish, tahlil qilish, mulohaza yuritish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qaror qabul qilish usuli.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Bu konstruktsiyalashda, texnik masalalarni strukturaviy yondashuv bilan yechishda muhim.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Masalan, “Logical Creative Thinking Methods” asarida mualliflar mantiqiy jarayonni ijodiy natijani yaratishda qo‘llanilishi mumkinligini ta’kidlaydilar.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Shuningdek, tadqiqotlarda «mantiqiy ramka + ochiq vazifalar» modeli ijodiy natijalarni oshirishini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ko‘rsatadi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 Texnik konstruksiyalashda mantiqiy tafakkur quyidagicha ishlaydi:</w:t>
      </w:r>
    </w:p>
    <w:p w:rsidR="001D2657" w:rsidRPr="001D2657" w:rsidRDefault="001D2657" w:rsidP="001D265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Talablarni aniqlash va me’yorlarni belgilash</w:t>
      </w:r>
    </w:p>
    <w:p w:rsidR="001D2657" w:rsidRPr="001D2657" w:rsidRDefault="001D2657" w:rsidP="001D265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Loyihaning strukturasi, elementlararo bog‘liqliklarni aniqlash</w:t>
      </w:r>
    </w:p>
    <w:p w:rsidR="001D2657" w:rsidRPr="001D2657" w:rsidRDefault="001D2657" w:rsidP="001D265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Xavfsizlik, moddiy hisob-kitoblar, normativ talablarga rioya qilish</w:t>
      </w: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>Shu tarzda, konstruksiyaning amaliy jihatlari mantiqiy tafakkurga bog‘liq.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Intuitiv tafakkur esa</w:t>
      </w: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— ong osti, ilgari tajriba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bilish natijasida shakllangan tezkor fikrlash usuli, qator ehtimollarni tezda baholashga imkon beradi. Ijodkor konstruktorlik jarayonida yangi g‘oyalarni qidirishda, noregulirk masalalarni yechishda ko‘pincha intuitiv yondashuv muhim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bo‘ladi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Masalan, yaratilmagan konstruktsiya modelini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ko‘z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oldiga keltirish yoki materiallarning noma’lum xususiyatlarini taxmin qilish. “A Theory of Creative Thinking” asarida intuitiv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mantiqiy tafakkur kombinatsiyasi ijodiy jarayonda muhim ekanligi ko‘rsatilgan. </w:t>
      </w:r>
      <w:r w:rsidRPr="001D265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Texnik ijodkorlik jarayonida intuitiv tafakkur:</w:t>
      </w:r>
    </w:p>
    <w:p w:rsidR="001D2657" w:rsidRPr="001D2657" w:rsidRDefault="001D2657" w:rsidP="001D2657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Yangicha g‘oyalarni ishlab chiqishda (divergent thinking)</w:t>
      </w:r>
    </w:p>
    <w:p w:rsidR="001D2657" w:rsidRPr="001D2657" w:rsidRDefault="001D2657" w:rsidP="001D2657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Chora-tadbirlarni zamonaviy yechim bilan bog‘lashda</w:t>
      </w:r>
    </w:p>
    <w:p w:rsidR="001D2657" w:rsidRPr="001D2657" w:rsidRDefault="001D2657" w:rsidP="001D2657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Tezkor prototip g‘oyalari shakllantirishda.</w:t>
      </w:r>
    </w:p>
    <w:p w:rsidR="001D2657" w:rsidRPr="001D2657" w:rsidRDefault="001D2657" w:rsidP="001D2657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Masalan, fikr tinglab, “bu elementni bunday shaklda joylashtirsam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bo‘larmikan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?” degan savol bilan intuitiv yechim paydo bo‘ladi.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Ijodkorlik jarayonida eng yuqori natijaga erishish uchun mantiqiy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intuitiv tafakkur bir-birini to‘ldirishi lozim. Quyidagi modelni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ko‘rib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chiqish mumkin: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1D2657">
        <w:rPr>
          <w:rFonts w:ascii="Times New Roman" w:eastAsia="Calibri" w:hAnsi="Times New Roman" w:cs="Times New Roman"/>
          <w:noProof/>
          <w:kern w:val="2"/>
          <w:sz w:val="28"/>
          <w:lang w:val="en-US"/>
          <w14:ligatures w14:val="standardContextual"/>
        </w:rPr>
        <w:t xml:space="preserve">  </w:t>
      </w:r>
      <w:r w:rsidRPr="001D2657">
        <w:rPr>
          <w:rFonts w:ascii="Times New Roman" w:eastAsia="Calibri" w:hAnsi="Times New Roman" w:cs="Times New Roman"/>
          <w:noProof/>
          <w:kern w:val="2"/>
          <w:sz w:val="28"/>
          <w:lang w:eastAsia="ru-RU"/>
          <w14:ligatures w14:val="standardContextual"/>
        </w:rPr>
        <mc:AlternateContent>
          <mc:Choice Requires="wps">
            <w:drawing>
              <wp:inline distT="0" distB="0" distL="0" distR="0" wp14:anchorId="5F2E65BD" wp14:editId="1201E2F9">
                <wp:extent cx="308610" cy="308610"/>
                <wp:effectExtent l="0" t="0" r="0" b="0"/>
                <wp:docPr id="113855529" name="Прямоугольник 2" descr="Сформирова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" o:spid="_x0000_s1026" alt="Сформированное изображение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" filled="f" stroked="f">
                <o:lock v:ext="edit" aspectratio="t"/>
                <w10:anchorlock/>
              </v:rect>
            </w:pict>
          </mc:Fallback>
        </mc:AlternateContent>
      </w:r>
    </w:p>
    <w:p w:rsidR="001D2657" w:rsidRPr="001D2657" w:rsidRDefault="001D2657" w:rsidP="001D2657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1D2657">
        <w:rPr>
          <w:rFonts w:ascii="Times New Roman" w:eastAsia="Calibri" w:hAnsi="Times New Roman" w:cs="Times New Roman"/>
          <w:noProof/>
          <w:kern w:val="2"/>
          <w:sz w:val="28"/>
          <w:lang w:eastAsia="ru-RU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672865" wp14:editId="26856E0E">
                <wp:simplePos x="0" y="0"/>
                <wp:positionH relativeFrom="column">
                  <wp:posOffset>4644390</wp:posOffset>
                </wp:positionH>
                <wp:positionV relativeFrom="paragraph">
                  <wp:posOffset>280035</wp:posOffset>
                </wp:positionV>
                <wp:extent cx="942975" cy="542925"/>
                <wp:effectExtent l="0" t="0" r="28575" b="28575"/>
                <wp:wrapNone/>
                <wp:docPr id="270464552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54292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A5A5A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1" o:spid="_x0000_s1026" style="position:absolute;margin-left:365.7pt;margin-top:22.05pt;width:74.25pt;height:42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" fillcolor="window" strokecolor="#a5a5a5" strokeweight="1pt">
                <v:stroke joinstyle="miter"/>
              </v:oval>
            </w:pict>
          </mc:Fallback>
        </mc:AlternateContent>
      </w:r>
      <w:r w:rsidRPr="001D2657">
        <w:rPr>
          <w:rFonts w:ascii="Times New Roman" w:eastAsia="Calibri" w:hAnsi="Times New Roman" w:cs="Times New Roman"/>
          <w:noProof/>
          <w:kern w:val="2"/>
          <w:sz w:val="28"/>
          <w:lang w:eastAsia="ru-RU"/>
          <w14:ligatures w14:val="standardContextual"/>
        </w:rPr>
        <w:drawing>
          <wp:inline distT="0" distB="0" distL="0" distR="0" wp14:anchorId="67DBCDE0" wp14:editId="7675EC74">
            <wp:extent cx="5939790" cy="3860800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13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Ilmiy ijodkorlik jarayonida mantiqiy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intuitiv tafakkurning bosqichlari. Quyidagi jadvalda ilmiy ijodkorlik jarayonida mantiqiy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intuitiv tafakkur qanday bosqichlarda xizmat qilishi ko‘rsatilgan: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tbl>
      <w:tblPr>
        <w:tblStyle w:val="GridTable4Accent5"/>
        <w:tblW w:w="9351" w:type="dxa"/>
        <w:tblLayout w:type="fixed"/>
        <w:tblLook w:val="04A0" w:firstRow="1" w:lastRow="0" w:firstColumn="1" w:lastColumn="0" w:noHBand="0" w:noVBand="1"/>
      </w:tblPr>
      <w:tblGrid>
        <w:gridCol w:w="2830"/>
        <w:gridCol w:w="3544"/>
        <w:gridCol w:w="2977"/>
      </w:tblGrid>
      <w:tr w:rsidR="001D2657" w:rsidRPr="001D2657" w:rsidTr="00DC2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657" w:rsidRPr="001D2657" w:rsidRDefault="001D2657" w:rsidP="001D2657">
            <w:pPr>
              <w:ind w:firstLine="709"/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Bosqich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657" w:rsidRPr="001D2657" w:rsidRDefault="001D2657" w:rsidP="001D26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Intuitiv tafakkur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657" w:rsidRPr="001D2657" w:rsidRDefault="001D2657" w:rsidP="001D26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Mantiqiy tafakkur</w:t>
            </w:r>
          </w:p>
          <w:p w:rsidR="001D2657" w:rsidRPr="001D2657" w:rsidRDefault="001D2657" w:rsidP="001D26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lang w:val="en-US"/>
              </w:rPr>
            </w:pPr>
          </w:p>
        </w:tc>
      </w:tr>
      <w:tr w:rsidR="001D2657" w:rsidRPr="001D2657" w:rsidTr="00DC2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auto"/>
            </w:tcBorders>
            <w:hideMark/>
          </w:tcPr>
          <w:p w:rsidR="001D2657" w:rsidRPr="001D2657" w:rsidRDefault="001D2657" w:rsidP="001D2657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Muammoni aniqlash</w:t>
            </w:r>
          </w:p>
        </w:tc>
        <w:tc>
          <w:tcPr>
            <w:tcW w:w="3544" w:type="dxa"/>
            <w:tcBorders>
              <w:top w:val="single" w:sz="4" w:space="0" w:color="auto"/>
            </w:tcBorders>
            <w:hideMark/>
          </w:tcPr>
          <w:p w:rsidR="001D2657" w:rsidRPr="001D2657" w:rsidRDefault="001D2657" w:rsidP="001D26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  <w:lang w:val="en-US"/>
              </w:rPr>
              <w:t>Muammo</w:t>
            </w:r>
            <w:r w:rsidRPr="001D2657">
              <w:rPr>
                <w:rFonts w:ascii="Times New Roman" w:eastAsia="Calibri" w:hAnsi="Times New Roman" w:cs="Times New Roman"/>
                <w:sz w:val="28"/>
                <w:lang w:val="en-US"/>
              </w:rPr>
              <w:softHyphen/>
              <w:t>ni sezish, ehtimollarni ko‘rish</w:t>
            </w:r>
          </w:p>
        </w:tc>
        <w:tc>
          <w:tcPr>
            <w:tcW w:w="2977" w:type="dxa"/>
            <w:tcBorders>
              <w:top w:val="single" w:sz="4" w:space="0" w:color="auto"/>
            </w:tcBorders>
            <w:hideMark/>
          </w:tcPr>
          <w:p w:rsidR="001D2657" w:rsidRPr="001D2657" w:rsidRDefault="001D2657" w:rsidP="001D26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Talablarni tizimlash, normativ chiqish</w:t>
            </w:r>
          </w:p>
        </w:tc>
      </w:tr>
      <w:tr w:rsidR="001D2657" w:rsidRPr="001D2657" w:rsidTr="00DC2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:rsidR="001D2657" w:rsidRPr="001D2657" w:rsidRDefault="001D2657" w:rsidP="001D2657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G‘oyalarni ishlab chiqish</w:t>
            </w:r>
          </w:p>
        </w:tc>
        <w:tc>
          <w:tcPr>
            <w:tcW w:w="3544" w:type="dxa"/>
            <w:hideMark/>
          </w:tcPr>
          <w:p w:rsidR="001D2657" w:rsidRPr="001D2657" w:rsidRDefault="001D2657" w:rsidP="001D26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Divergent fikrlash, yangi prototiplar</w:t>
            </w:r>
          </w:p>
        </w:tc>
        <w:tc>
          <w:tcPr>
            <w:tcW w:w="2977" w:type="dxa"/>
            <w:hideMark/>
          </w:tcPr>
          <w:p w:rsidR="001D2657" w:rsidRPr="001D2657" w:rsidRDefault="001D2657" w:rsidP="001D26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Variantlarni tanlash, tahlil</w:t>
            </w:r>
          </w:p>
        </w:tc>
      </w:tr>
      <w:tr w:rsidR="001D2657" w:rsidRPr="001D2657" w:rsidTr="00DC2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:rsidR="001D2657" w:rsidRPr="001D2657" w:rsidRDefault="001D2657" w:rsidP="001D2657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Loyihalash/modellashtirish</w:t>
            </w:r>
          </w:p>
        </w:tc>
        <w:tc>
          <w:tcPr>
            <w:tcW w:w="3544" w:type="dxa"/>
            <w:hideMark/>
          </w:tcPr>
          <w:p w:rsidR="001D2657" w:rsidRPr="001D2657" w:rsidRDefault="001D2657" w:rsidP="001D26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  <w:lang w:val="en-US"/>
              </w:rPr>
              <w:t>Sketch, “qay darajada bo‘lsa-miyu” fikrlari</w:t>
            </w:r>
          </w:p>
        </w:tc>
        <w:tc>
          <w:tcPr>
            <w:tcW w:w="2977" w:type="dxa"/>
            <w:hideMark/>
          </w:tcPr>
          <w:p w:rsidR="001D2657" w:rsidRPr="001D2657" w:rsidRDefault="001D2657" w:rsidP="001D26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  <w:lang w:val="en-US"/>
              </w:rPr>
              <w:t>Chizma, hisob-kitob, CAD modellashtirish</w:t>
            </w:r>
          </w:p>
        </w:tc>
      </w:tr>
      <w:tr w:rsidR="001D2657" w:rsidRPr="001D2657" w:rsidTr="00DC2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:rsidR="001D2657" w:rsidRPr="001D2657" w:rsidRDefault="001D2657" w:rsidP="001D2657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Amaliy sinov va takomillashtirish</w:t>
            </w:r>
          </w:p>
        </w:tc>
        <w:tc>
          <w:tcPr>
            <w:tcW w:w="3544" w:type="dxa"/>
            <w:hideMark/>
          </w:tcPr>
          <w:p w:rsidR="001D2657" w:rsidRPr="001D2657" w:rsidRDefault="001D2657" w:rsidP="001D26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  <w:lang w:val="en-US"/>
              </w:rPr>
              <w:t>Qayta intuitiv tuzatish, estetik yechimlar</w:t>
            </w:r>
          </w:p>
        </w:tc>
        <w:tc>
          <w:tcPr>
            <w:tcW w:w="2977" w:type="dxa"/>
            <w:hideMark/>
          </w:tcPr>
          <w:p w:rsidR="001D2657" w:rsidRPr="001D2657" w:rsidRDefault="001D2657" w:rsidP="001D26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  <w:lang w:val="en-US"/>
              </w:rPr>
              <w:t>Sinov natijalari bo‘yicha takomillashtirish</w:t>
            </w:r>
          </w:p>
        </w:tc>
      </w:tr>
      <w:tr w:rsidR="001D2657" w:rsidRPr="001D2657" w:rsidTr="00DC2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:rsidR="001D2657" w:rsidRPr="001D2657" w:rsidRDefault="001D2657" w:rsidP="001D2657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Yakuniy loyiha</w:t>
            </w:r>
          </w:p>
        </w:tc>
        <w:tc>
          <w:tcPr>
            <w:tcW w:w="3544" w:type="dxa"/>
            <w:hideMark/>
          </w:tcPr>
          <w:p w:rsidR="001D2657" w:rsidRPr="001D2657" w:rsidRDefault="001D2657" w:rsidP="001D26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Ijodiy tafsilotlar, yangi elementlar</w:t>
            </w:r>
          </w:p>
        </w:tc>
        <w:tc>
          <w:tcPr>
            <w:tcW w:w="2977" w:type="dxa"/>
            <w:hideMark/>
          </w:tcPr>
          <w:p w:rsidR="001D2657" w:rsidRPr="001D2657" w:rsidRDefault="001D2657" w:rsidP="001D26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Standardlarga muvofiqlik, hujjatlar tayyorlash</w:t>
            </w:r>
          </w:p>
        </w:tc>
      </w:tr>
    </w:tbl>
    <w:p w:rsidR="001D2657" w:rsidRPr="001D2657" w:rsidRDefault="001D2657" w:rsidP="001D2657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Texnik ijodkorlik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konstruksiyalash fanlari — nafaqat texnik bilimlar, balki ijodiy tafakkur va konstruktiv yondashuvni ham birlashtiruvchi soha. Ilmiy ijodkorlik jarayonida mantiqiy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intuitiv tafakkur o‘zaro uyg‘un ishlaganda, konstruktorlik yechimlar aniqroq, samaraliroq va innovatsion bo‘ladi. O‘zbekiston ta’lim muhitida ham bu yondashuvni qo‘llash muhim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bo‘lib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, yuqori malakali mutaxassislar tayyorlashga hissa qo‘shadi.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lastRenderedPageBreak/>
        <w:t xml:space="preserve">Texnik obʹyektlarni konstruksiyalash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modellashtirish fanlari zamonaviy muhandislik, ishlab chiqarish va dizayn jarayonlarida alohida ahamiyat kasb etadi. Bu jarayonlar — bir tomondan, texnik jihatdan mustahkam, xavfsiz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samarali konstruktsiyalarni yaratish; boshqa tomondan esa — estetik jihatdan jozibali, funktsional va inson-muvofiq dizaynga ega bo‘lgan modellarni ishlab chiqishni o‘z ichiga oladi.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Texnik obʹyektni konstruksiyalash jarayoni obʹyektning tuzilishi, materiallari, ishlash sharoitlari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normativ talablari asosida loyihalashtirishni anglatadi. Shu bilan birga, modellashtirish — obʹyektni haqiqiy ishlab chiqarishga tayyorlash maqsadida, uning shaklini, xususiyatlarini, funksiyalarini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xavfsizlik jihatlarini boshlang‘ich bosqichda vizualizatsiya qilish, hisob-kitob qilish, sinovdan o‘tkazish imkonini beruvchi jarayondir.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Xalqaro tadqiqotlar shuni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ko‘rsatadiki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— 3-o‘lchamli parametric BIM (Building Information Modeling) va boshqa modellashtirish usullari murakkab konstruktsiyalarni loyihalash jarayonida samaradorlikni oshiradi.</w:t>
      </w: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>Misol uchun: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noProof/>
          <w:kern w:val="2"/>
          <w:sz w:val="28"/>
          <w:lang w:eastAsia="ru-RU"/>
          <w14:ligatures w14:val="standardContextual"/>
        </w:rPr>
        <w:drawing>
          <wp:anchor distT="0" distB="0" distL="114300" distR="114300" simplePos="0" relativeHeight="251663360" behindDoc="1" locked="0" layoutInCell="1" allowOverlap="1" wp14:anchorId="7D1B8385" wp14:editId="23918838">
            <wp:simplePos x="0" y="0"/>
            <wp:positionH relativeFrom="column">
              <wp:posOffset>464820</wp:posOffset>
            </wp:positionH>
            <wp:positionV relativeFrom="paragraph">
              <wp:posOffset>184785</wp:posOffset>
            </wp:positionV>
            <wp:extent cx="4540250" cy="2553970"/>
            <wp:effectExtent l="0" t="0" r="0" b="0"/>
            <wp:wrapTight wrapText="bothSides">
              <wp:wrapPolygon edited="0">
                <wp:start x="0" y="0"/>
                <wp:lineTo x="0" y="21428"/>
                <wp:lineTo x="21479" y="21428"/>
                <wp:lineTo x="21479" y="0"/>
                <wp:lineTo x="0" y="0"/>
              </wp:wrapPolygon>
            </wp:wrapTight>
            <wp:docPr id="2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noProof/>
          <w:kern w:val="2"/>
          <w:sz w:val="28"/>
          <w:lang w:eastAsia="ru-RU"/>
          <w14:ligatures w14:val="standardContextual"/>
        </w:rPr>
        <w:drawing>
          <wp:anchor distT="0" distB="0" distL="114300" distR="114300" simplePos="0" relativeHeight="251662336" behindDoc="1" locked="0" layoutInCell="1" allowOverlap="1" wp14:anchorId="6BCE573B" wp14:editId="65F57063">
            <wp:simplePos x="0" y="0"/>
            <wp:positionH relativeFrom="page">
              <wp:align>center</wp:align>
            </wp:positionH>
            <wp:positionV relativeFrom="paragraph">
              <wp:posOffset>2832253</wp:posOffset>
            </wp:positionV>
            <wp:extent cx="4635062" cy="2273926"/>
            <wp:effectExtent l="0" t="0" r="0" b="0"/>
            <wp:wrapTight wrapText="bothSides">
              <wp:wrapPolygon edited="0">
                <wp:start x="0" y="0"/>
                <wp:lineTo x="0" y="21359"/>
                <wp:lineTo x="21485" y="21359"/>
                <wp:lineTo x="21485" y="0"/>
                <wp:lineTo x="0" y="0"/>
              </wp:wrapPolygon>
            </wp:wrapTight>
            <wp:docPr id="3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062" cy="2273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1D2657">
        <w:rPr>
          <w:rFonts w:ascii="Times New Roman" w:eastAsia="Calibri" w:hAnsi="Times New Roman" w:cs="Times New Roman"/>
          <w:noProof/>
          <w:kern w:val="2"/>
          <w:sz w:val="28"/>
          <w:lang w:eastAsia="ru-RU"/>
          <w14:ligatures w14:val="standardContextual"/>
        </w:rPr>
        <w:drawing>
          <wp:anchor distT="0" distB="0" distL="114300" distR="114300" simplePos="0" relativeHeight="251666432" behindDoc="1" locked="0" layoutInCell="1" allowOverlap="1" wp14:anchorId="49298DE8" wp14:editId="5A35CA15">
            <wp:simplePos x="0" y="0"/>
            <wp:positionH relativeFrom="margin">
              <wp:posOffset>261620</wp:posOffset>
            </wp:positionH>
            <wp:positionV relativeFrom="paragraph">
              <wp:posOffset>6696149</wp:posOffset>
            </wp:positionV>
            <wp:extent cx="4762500" cy="2548247"/>
            <wp:effectExtent l="0" t="0" r="0" b="5080"/>
            <wp:wrapTight wrapText="bothSides">
              <wp:wrapPolygon edited="0">
                <wp:start x="0" y="0"/>
                <wp:lineTo x="0" y="21482"/>
                <wp:lineTo x="21514" y="21482"/>
                <wp:lineTo x="21514" y="0"/>
                <wp:lineTo x="0" y="0"/>
              </wp:wrapPolygon>
            </wp:wrapTight>
            <wp:docPr id="4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48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D2657">
        <w:rPr>
          <w:rFonts w:ascii="Times New Roman" w:eastAsia="Calibri" w:hAnsi="Times New Roman" w:cs="Times New Roman"/>
          <w:noProof/>
          <w:kern w:val="2"/>
          <w:sz w:val="28"/>
          <w:lang w:eastAsia="ru-RU"/>
          <w14:ligatures w14:val="standardContextual"/>
        </w:rPr>
        <w:drawing>
          <wp:anchor distT="0" distB="0" distL="114300" distR="114300" simplePos="0" relativeHeight="251665408" behindDoc="1" locked="0" layoutInCell="1" allowOverlap="1" wp14:anchorId="5C96686F" wp14:editId="11315E3E">
            <wp:simplePos x="0" y="0"/>
            <wp:positionH relativeFrom="page">
              <wp:posOffset>851316</wp:posOffset>
            </wp:positionH>
            <wp:positionV relativeFrom="paragraph">
              <wp:posOffset>3473253</wp:posOffset>
            </wp:positionV>
            <wp:extent cx="5643880" cy="3174365"/>
            <wp:effectExtent l="0" t="0" r="0" b="6985"/>
            <wp:wrapTight wrapText="bothSides">
              <wp:wrapPolygon edited="0">
                <wp:start x="0" y="0"/>
                <wp:lineTo x="0" y="21518"/>
                <wp:lineTo x="21508" y="21518"/>
                <wp:lineTo x="21508" y="0"/>
                <wp:lineTo x="0" y="0"/>
              </wp:wrapPolygon>
            </wp:wrapTight>
            <wp:docPr id="5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88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2657">
        <w:rPr>
          <w:rFonts w:ascii="Times New Roman" w:eastAsia="Calibri" w:hAnsi="Times New Roman" w:cs="Times New Roman"/>
          <w:noProof/>
          <w:kern w:val="2"/>
          <w:sz w:val="28"/>
          <w:lang w:eastAsia="ru-RU"/>
          <w14:ligatures w14:val="standardContextual"/>
        </w:rPr>
        <w:drawing>
          <wp:anchor distT="0" distB="0" distL="114300" distR="114300" simplePos="0" relativeHeight="251664384" behindDoc="1" locked="0" layoutInCell="1" allowOverlap="1" wp14:anchorId="2DF923ED" wp14:editId="49E405CD">
            <wp:simplePos x="0" y="0"/>
            <wp:positionH relativeFrom="page">
              <wp:posOffset>677917</wp:posOffset>
            </wp:positionH>
            <wp:positionV relativeFrom="paragraph">
              <wp:posOffset>263</wp:posOffset>
            </wp:positionV>
            <wp:extent cx="5908040" cy="3358931"/>
            <wp:effectExtent l="0" t="0" r="0" b="0"/>
            <wp:wrapTight wrapText="bothSides">
              <wp:wrapPolygon edited="0">
                <wp:start x="0" y="0"/>
                <wp:lineTo x="0" y="21441"/>
                <wp:lineTo x="21521" y="21441"/>
                <wp:lineTo x="21521" y="0"/>
                <wp:lineTo x="0" y="0"/>
              </wp:wrapPolygon>
            </wp:wrapTight>
            <wp:docPr id="6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040" cy="3358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1D2657">
        <w:rPr>
          <w:rFonts w:ascii="Times New Roman" w:eastAsia="Calibri" w:hAnsi="Times New Roman" w:cs="Times New Roman"/>
          <w:noProof/>
          <w:kern w:val="2"/>
          <w:sz w:val="28"/>
          <w:lang w:eastAsia="ru-RU"/>
          <w14:ligatures w14:val="standardContextual"/>
        </w:rPr>
        <mc:AlternateContent>
          <mc:Choice Requires="wps">
            <w:drawing>
              <wp:inline distT="0" distB="0" distL="0" distR="0" wp14:anchorId="08DE9F67" wp14:editId="5F95DB54">
                <wp:extent cx="304800" cy="304800"/>
                <wp:effectExtent l="0" t="0" r="0" b="0"/>
                <wp:docPr id="726940357" name="Rectangle 3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BE&#10;4AWzxAIAAM4FAAAOAAAAAAAAAAAAAAAAAC4CAABkcnMvZTJvRG9jLnhtbFBLAQItABQABgAIAAAA&#10;IQBMoOks2AAAAAMBAAAPAAAAAAAAAAAAAAAAAB4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lastRenderedPageBreak/>
        <w:t xml:space="preserve">«The properties of geometrically modelling computational schemes for building structures» maqolasida konstruktsiyalarni geometriya jihatdan modellashtirish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virtual sinovlar o'tkazish jarayonlari tahlil qilingan. 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Modellashtirishning bosqichlari </w:t>
      </w:r>
      <w:proofErr w:type="gramStart"/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shakllari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Modellashtirish jarayonida quyidagi bosqichlar ajratiladi:</w:t>
      </w:r>
    </w:p>
    <w:p w:rsidR="001D2657" w:rsidRPr="001D2657" w:rsidRDefault="001D2657" w:rsidP="001D2657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Konseptual model (g‘oya, sketsa, 2D chizma)</w:t>
      </w:r>
    </w:p>
    <w:p w:rsidR="001D2657" w:rsidRPr="001D2657" w:rsidRDefault="001D2657" w:rsidP="001D2657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Digital model (CAD/CAM/CAE, 3D modellashtirish)</w:t>
      </w:r>
    </w:p>
    <w:p w:rsidR="001D2657" w:rsidRPr="001D2657" w:rsidRDefault="001D2657" w:rsidP="001D2657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Virtual sinov va optimizatsiya (parametrik o‘zgaruvchilar bilan)</w:t>
      </w:r>
    </w:p>
    <w:p w:rsidR="001D2657" w:rsidRPr="001D2657" w:rsidRDefault="001D2657" w:rsidP="001D2657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Prototip va real ishlab chiqarishga tayyorgarlik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Masalan, parametric dizayn metodida dizayner bir nechta parametrlarni belgilaydi — ular o‘zgaruvchilar sifatida qabul qilinadi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model avtomatik ravishda yangilanadi.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Shuningdek, modellarning funktsional tahlili uchun «Function-Behaviour-Structure (FBS) ontology» kabi yondashuvlar mavjud.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Quyida modellashtirish metodlarini jadval shaklida </w:t>
      </w:r>
      <w:proofErr w:type="gramStart"/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ko‘rib</w:t>
      </w:r>
      <w:proofErr w:type="gramEnd"/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chiqamiz:</w:t>
      </w:r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3391"/>
        <w:gridCol w:w="6180"/>
      </w:tblGrid>
      <w:tr w:rsidR="001D2657" w:rsidRPr="001D2657" w:rsidTr="00DC2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657" w:rsidRPr="001D2657" w:rsidRDefault="001D2657" w:rsidP="001D2657">
            <w:pPr>
              <w:ind w:firstLine="709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Metod</w:t>
            </w:r>
          </w:p>
          <w:p w:rsidR="001D2657" w:rsidRPr="001D2657" w:rsidRDefault="001D2657" w:rsidP="001D2657">
            <w:pPr>
              <w:ind w:firstLine="709"/>
              <w:jc w:val="center"/>
              <w:rPr>
                <w:rFonts w:ascii="Times New Roman" w:eastAsia="Calibri" w:hAnsi="Times New Roman" w:cs="Times New Roman"/>
                <w:sz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657" w:rsidRPr="001D2657" w:rsidRDefault="001D2657" w:rsidP="001D2657">
            <w:pPr>
              <w:ind w:firstLine="70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Tavsif</w:t>
            </w:r>
          </w:p>
          <w:p w:rsidR="001D2657" w:rsidRPr="001D2657" w:rsidRDefault="001D2657" w:rsidP="001D2657">
            <w:pPr>
              <w:ind w:firstLine="70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lang w:val="en-US"/>
              </w:rPr>
            </w:pPr>
          </w:p>
        </w:tc>
      </w:tr>
      <w:tr w:rsidR="001D2657" w:rsidRPr="001D2657" w:rsidTr="00DC2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  <w:hideMark/>
          </w:tcPr>
          <w:p w:rsidR="001D2657" w:rsidRPr="001D2657" w:rsidRDefault="001D2657" w:rsidP="001D2657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Parametrik modellashtirish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:rsidR="001D2657" w:rsidRPr="001D2657" w:rsidRDefault="001D2657" w:rsidP="001D26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  <w:lang w:val="en-US"/>
              </w:rPr>
              <w:t>Parametrlar orqali shakl, material va bog‘liqliklar boshqariladi.</w:t>
            </w:r>
          </w:p>
        </w:tc>
      </w:tr>
      <w:tr w:rsidR="001D2657" w:rsidRPr="001D2657" w:rsidTr="00DC2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2657" w:rsidRPr="001D2657" w:rsidRDefault="001D2657" w:rsidP="001D2657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Konseptual (sculptural) modellashtirish</w:t>
            </w:r>
          </w:p>
        </w:tc>
        <w:tc>
          <w:tcPr>
            <w:tcW w:w="0" w:type="auto"/>
            <w:hideMark/>
          </w:tcPr>
          <w:p w:rsidR="001D2657" w:rsidRPr="001D2657" w:rsidRDefault="001D2657" w:rsidP="001D26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  <w:lang w:val="en-US"/>
              </w:rPr>
              <w:t>Dizayner freer form sketsa yoki loyihadan boshlaydi, keyin texnik modelga o‘tkaziladi.</w:t>
            </w:r>
          </w:p>
        </w:tc>
      </w:tr>
      <w:tr w:rsidR="001D2657" w:rsidRPr="001D2657" w:rsidTr="00DC2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2657" w:rsidRPr="001D2657" w:rsidRDefault="001D2657" w:rsidP="001D2657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BIM / ma’lumotli modellashtirish</w:t>
            </w:r>
          </w:p>
        </w:tc>
        <w:tc>
          <w:tcPr>
            <w:tcW w:w="0" w:type="auto"/>
            <w:hideMark/>
          </w:tcPr>
          <w:p w:rsidR="001D2657" w:rsidRPr="001D2657" w:rsidRDefault="001D2657" w:rsidP="001D26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Obʹyekt haqidagi barcha ma’lumotlar — geometriya, funksiya, vaqt, xarajat — bir modelga kiritiladi.</w:t>
            </w:r>
          </w:p>
        </w:tc>
      </w:tr>
      <w:tr w:rsidR="001D2657" w:rsidRPr="001D2657" w:rsidTr="00DC2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D2657" w:rsidRPr="001D2657" w:rsidRDefault="001D2657" w:rsidP="001D2657">
            <w:pPr>
              <w:ind w:firstLine="709"/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Funktsional-strukturaviy model</w:t>
            </w:r>
          </w:p>
        </w:tc>
        <w:tc>
          <w:tcPr>
            <w:tcW w:w="0" w:type="auto"/>
            <w:hideMark/>
          </w:tcPr>
          <w:p w:rsidR="001D2657" w:rsidRPr="001D2657" w:rsidRDefault="001D2657" w:rsidP="001D2657">
            <w:pPr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  <w:lang w:val="en-US"/>
              </w:rPr>
              <w:t xml:space="preserve">FBS yondashuvi: Funksiya → Xulq (Behaviour) → Strukturaga (Structure) bog‘liq. </w:t>
            </w:r>
          </w:p>
        </w:tc>
      </w:tr>
    </w:tbl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1D2657" w:rsidRPr="001D2657" w:rsidRDefault="001D2657" w:rsidP="001D2657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2"/>
          <w:sz w:val="28"/>
          <w14:ligatures w14:val="standardContextual"/>
        </w:rPr>
      </w:pPr>
      <w:r w:rsidRPr="001D2657">
        <w:rPr>
          <w:rFonts w:ascii="Times New Roman" w:eastAsia="Calibri" w:hAnsi="Times New Roman" w:cs="Times New Roman"/>
          <w:b/>
          <w:bCs/>
          <w:kern w:val="2"/>
          <w:sz w:val="28"/>
          <w14:ligatures w14:val="standardContextual"/>
        </w:rPr>
        <w:t>Amaliy maslahatlar va tavsiyalar</w:t>
      </w:r>
    </w:p>
    <w:p w:rsidR="001D2657" w:rsidRPr="001D2657" w:rsidRDefault="001D2657" w:rsidP="001D2657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Loyihalash bosqichida dastlab qisqa qaytarishlar bilan prototip yaratish (sketsa → 3D model) tavsiya etiladi.</w:t>
      </w:r>
    </w:p>
    <w:p w:rsidR="001D2657" w:rsidRPr="001D2657" w:rsidRDefault="001D2657" w:rsidP="001D2657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Modellar orasida ma’lumot uzatishda standart formatlardan (masalan IFC, STEP) foydalanish muhim. </w:t>
      </w:r>
    </w:p>
    <w:p w:rsidR="001D2657" w:rsidRPr="001D2657" w:rsidRDefault="001D2657" w:rsidP="001D2657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Dizayn bosqichida estetik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funktsional talablarga ham e’tibor qaratish: konstruktsiya mustahkamligi bilan birga shakl va foydalanuvchi tajribasi ham inobatga olinishi lozim.</w:t>
      </w:r>
    </w:p>
    <w:p w:rsidR="001D2657" w:rsidRPr="001D2657" w:rsidRDefault="001D2657" w:rsidP="001D2657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Texnik modellashtirish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konstruksiyalash jarayonida materiallar, xavfsizlik normativlari, ishlab chiqarish qulayligi (manufacturability) kabi jihatlar avvalo ko‘rib chiqilishi kerak.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1D2657" w:rsidRPr="001D2657" w:rsidRDefault="001D2657" w:rsidP="001D2657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Badiiy-modellashtirish </w:t>
      </w:r>
      <w:proofErr w:type="gramStart"/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dizayn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gramStart"/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Badiiy-modellashtirish tushunchasi.</w:t>
      </w:r>
      <w:proofErr w:type="gramEnd"/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Badiiy-modellashtirish (artistic modelling)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dizayn sohasida konstruktsiya faqat texnik jihatdan emas — estetik jihatdan ham yaratiladi. Dizaynerlar sketsa, maquette, 3D-model, vizualizatsiya orqali shakl, material, rang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teksturani sinovdan o‘tkazadilar.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“Conceptual modelling for industrial design” maqolasida bu jihat interaktiv tizim yordamida modellashtirishga qaratilganligi ta’kidlangan.</w:t>
      </w:r>
      <w:proofErr w:type="gramEnd"/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noProof/>
          <w:kern w:val="2"/>
          <w:sz w:val="28"/>
          <w:lang w:eastAsia="ru-RU"/>
          <w14:ligatures w14:val="standardContextual"/>
        </w:rPr>
        <w:lastRenderedPageBreak/>
        <w:drawing>
          <wp:anchor distT="0" distB="0" distL="114300" distR="114300" simplePos="0" relativeHeight="251668480" behindDoc="1" locked="0" layoutInCell="1" allowOverlap="1" wp14:anchorId="1C85941E" wp14:editId="4B900CDA">
            <wp:simplePos x="0" y="0"/>
            <wp:positionH relativeFrom="margin">
              <wp:align>left</wp:align>
            </wp:positionH>
            <wp:positionV relativeFrom="paragraph">
              <wp:posOffset>194310</wp:posOffset>
            </wp:positionV>
            <wp:extent cx="2872105" cy="2089785"/>
            <wp:effectExtent l="0" t="0" r="4445" b="5715"/>
            <wp:wrapTight wrapText="bothSides">
              <wp:wrapPolygon edited="0">
                <wp:start x="0" y="0"/>
                <wp:lineTo x="0" y="21462"/>
                <wp:lineTo x="21490" y="21462"/>
                <wp:lineTo x="21490" y="0"/>
                <wp:lineTo x="0" y="0"/>
              </wp:wrapPolygon>
            </wp:wrapTight>
            <wp:docPr id="7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105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D2657">
        <w:rPr>
          <w:rFonts w:ascii="Times New Roman" w:eastAsia="Calibri" w:hAnsi="Times New Roman" w:cs="Times New Roman"/>
          <w:noProof/>
          <w:kern w:val="2"/>
          <w:sz w:val="28"/>
          <w:lang w:eastAsia="ru-RU"/>
          <w14:ligatures w14:val="standardContextual"/>
        </w:rPr>
        <w:drawing>
          <wp:anchor distT="0" distB="0" distL="114300" distR="114300" simplePos="0" relativeHeight="251667456" behindDoc="1" locked="0" layoutInCell="1" allowOverlap="1" wp14:anchorId="7049EBBF" wp14:editId="5EE5F572">
            <wp:simplePos x="0" y="0"/>
            <wp:positionH relativeFrom="page">
              <wp:posOffset>4138602</wp:posOffset>
            </wp:positionH>
            <wp:positionV relativeFrom="paragraph">
              <wp:posOffset>161509</wp:posOffset>
            </wp:positionV>
            <wp:extent cx="2884805" cy="2164080"/>
            <wp:effectExtent l="0" t="0" r="0" b="7620"/>
            <wp:wrapTight wrapText="bothSides">
              <wp:wrapPolygon edited="0">
                <wp:start x="0" y="0"/>
                <wp:lineTo x="0" y="21486"/>
                <wp:lineTo x="21396" y="21486"/>
                <wp:lineTo x="21396" y="0"/>
                <wp:lineTo x="0" y="0"/>
              </wp:wrapPolygon>
            </wp:wrapTight>
            <wp:docPr id="8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805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noProof/>
          <w:kern w:val="2"/>
          <w:sz w:val="28"/>
          <w:lang w:eastAsia="ru-RU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7D7C55A4" wp14:editId="25EE5DB4">
            <wp:simplePos x="0" y="0"/>
            <wp:positionH relativeFrom="margin">
              <wp:posOffset>3272790</wp:posOffset>
            </wp:positionH>
            <wp:positionV relativeFrom="paragraph">
              <wp:posOffset>245592</wp:posOffset>
            </wp:positionV>
            <wp:extent cx="2661285" cy="2660650"/>
            <wp:effectExtent l="0" t="0" r="5715" b="6350"/>
            <wp:wrapTight wrapText="bothSides">
              <wp:wrapPolygon edited="0">
                <wp:start x="0" y="0"/>
                <wp:lineTo x="0" y="21497"/>
                <wp:lineTo x="21492" y="21497"/>
                <wp:lineTo x="21492" y="0"/>
                <wp:lineTo x="0" y="0"/>
              </wp:wrapPolygon>
            </wp:wrapTight>
            <wp:docPr id="9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285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2657">
        <w:rPr>
          <w:rFonts w:ascii="Times New Roman" w:eastAsia="Calibri" w:hAnsi="Times New Roman" w:cs="Times New Roman"/>
          <w:noProof/>
          <w:kern w:val="2"/>
          <w:sz w:val="28"/>
          <w:lang w:eastAsia="ru-RU"/>
          <w14:ligatures w14:val="standardContextual"/>
        </w:rPr>
        <w:drawing>
          <wp:anchor distT="0" distB="0" distL="114300" distR="114300" simplePos="0" relativeHeight="251669504" behindDoc="1" locked="0" layoutInCell="1" allowOverlap="1" wp14:anchorId="448D963C" wp14:editId="06C95F75">
            <wp:simplePos x="0" y="0"/>
            <wp:positionH relativeFrom="column">
              <wp:posOffset>102235</wp:posOffset>
            </wp:positionH>
            <wp:positionV relativeFrom="paragraph">
              <wp:posOffset>215900</wp:posOffset>
            </wp:positionV>
            <wp:extent cx="2777490" cy="2687955"/>
            <wp:effectExtent l="0" t="0" r="3810" b="0"/>
            <wp:wrapTight wrapText="bothSides">
              <wp:wrapPolygon edited="0">
                <wp:start x="0" y="0"/>
                <wp:lineTo x="0" y="21432"/>
                <wp:lineTo x="21481" y="21432"/>
                <wp:lineTo x="21481" y="0"/>
                <wp:lineTo x="0" y="0"/>
              </wp:wrapPolygon>
            </wp:wrapTight>
            <wp:docPr id="10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49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noProof/>
          <w:kern w:val="2"/>
          <w:sz w:val="28"/>
          <w:lang w:eastAsia="ru-RU"/>
          <w14:ligatures w14:val="standardContextual"/>
        </w:rPr>
        <w:drawing>
          <wp:anchor distT="0" distB="0" distL="114300" distR="114300" simplePos="0" relativeHeight="251670528" behindDoc="1" locked="0" layoutInCell="1" allowOverlap="1" wp14:anchorId="2C694A59" wp14:editId="5E56031C">
            <wp:simplePos x="0" y="0"/>
            <wp:positionH relativeFrom="column">
              <wp:posOffset>196697</wp:posOffset>
            </wp:positionH>
            <wp:positionV relativeFrom="paragraph">
              <wp:posOffset>19729</wp:posOffset>
            </wp:positionV>
            <wp:extent cx="2592070" cy="1882775"/>
            <wp:effectExtent l="0" t="0" r="0" b="3175"/>
            <wp:wrapTight wrapText="bothSides">
              <wp:wrapPolygon edited="0">
                <wp:start x="0" y="0"/>
                <wp:lineTo x="0" y="21418"/>
                <wp:lineTo x="21431" y="21418"/>
                <wp:lineTo x="21431" y="0"/>
                <wp:lineTo x="0" y="0"/>
              </wp:wrapPolygon>
            </wp:wrapTight>
            <wp:docPr id="11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noProof/>
          <w:kern w:val="2"/>
          <w:sz w:val="28"/>
          <w:lang w:eastAsia="ru-RU"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485E2966" wp14:editId="5F66FDB4">
            <wp:simplePos x="0" y="0"/>
            <wp:positionH relativeFrom="margin">
              <wp:align>right</wp:align>
            </wp:positionH>
            <wp:positionV relativeFrom="paragraph">
              <wp:posOffset>16776</wp:posOffset>
            </wp:positionV>
            <wp:extent cx="2605405" cy="1787525"/>
            <wp:effectExtent l="0" t="0" r="4445" b="3175"/>
            <wp:wrapTight wrapText="bothSides">
              <wp:wrapPolygon edited="0">
                <wp:start x="0" y="0"/>
                <wp:lineTo x="0" y="21408"/>
                <wp:lineTo x="21479" y="21408"/>
                <wp:lineTo x="21479" y="0"/>
                <wp:lineTo x="0" y="0"/>
              </wp:wrapPolygon>
            </wp:wrapTight>
            <wp:docPr id="12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597" cy="178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Misol uchun dizayner dastlab «clay modelling» (loy yoki skulptura) tarzida shaklni yaratadi, keyin bu shakl CAD tizimida texnik modelga aylantiriladi — bu jarayon intuitiv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yaratish bosqichlarini birlashtiradi.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Dizayn </w:t>
      </w:r>
      <w:proofErr w:type="gramStart"/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modellashtirish integratsiyasi. </w:t>
      </w: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Dizayn modellashtirishida yer, shakl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funksionallik birlashadi. Parametrik dizayn metodlari (masalan, parametric modelling) orqali nafaqat shakl yaratiladi, balki uning foydalanuvchi tajribasi, ergonomik xizmatlari, vizual estetikasi ham modellashtiriladi.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Dizayn jarayonida modellashtirish quyidagi bosqichlarni o‘z ichiga oladi:</w:t>
      </w:r>
    </w:p>
    <w:p w:rsidR="001D2657" w:rsidRPr="001D2657" w:rsidRDefault="001D2657" w:rsidP="001D265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G‘oya/sketsa → ikki o‘lchamli chizma</w:t>
      </w:r>
    </w:p>
    <w:p w:rsidR="001D2657" w:rsidRPr="001D2657" w:rsidRDefault="001D2657" w:rsidP="001D265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3D modelni yaratish (surface modelling, solid modelling)</w:t>
      </w:r>
    </w:p>
    <w:p w:rsidR="001D2657" w:rsidRPr="001D2657" w:rsidRDefault="001D2657" w:rsidP="001D265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Yuzaki ko‘rinish va tekstura sinovi (render, fizika asosida materiallar)</w:t>
      </w:r>
    </w:p>
    <w:p w:rsidR="001D2657" w:rsidRPr="001D2657" w:rsidRDefault="001D2657" w:rsidP="001D265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Prototip va real ishlab chiqarish modellari (CAM, 3D printing)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gramStart"/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Dizayn modellashtirishning tafakkur jihatlari.</w:t>
      </w:r>
      <w:proofErr w:type="gramEnd"/>
      <w:r w:rsidRPr="001D265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Badiiy-modellashtirish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dizaynda intuitiv tafakkur muhim rol o‘ynaydi — shakl, kompozitsiya, yorug‘lik </w:t>
      </w: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lastRenderedPageBreak/>
        <w:t xml:space="preserve">va ranglar jihatlari ko‘pincha intuitiv ravishda yaratiladi.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Ammo texnik modellashtirish bosqichida mantiqiy tafakkur, parametrik usullar, texnik cheklovlar bilan ishlash zarur.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Shu bois dizayner-muhandis integratsiyalashgan yondashuvni qo‘llashi lozim:  intuitiv yaratish + mantiqiy texnik model. </w:t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</w: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Jadval ko‘rinishida:</w:t>
      </w:r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2077"/>
        <w:gridCol w:w="3372"/>
        <w:gridCol w:w="3775"/>
      </w:tblGrid>
      <w:tr w:rsidR="001D2657" w:rsidRPr="001D2657" w:rsidTr="00DC2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657" w:rsidRPr="001D2657" w:rsidRDefault="001D2657" w:rsidP="001D2657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Bosqich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657" w:rsidRPr="001D2657" w:rsidRDefault="001D2657" w:rsidP="001D26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Intuitiv / Badiiy jihat</w:t>
            </w: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657" w:rsidRPr="001D2657" w:rsidRDefault="001D2657" w:rsidP="001D26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Mantiqiy / Texnik jihat</w:t>
            </w:r>
          </w:p>
          <w:p w:rsidR="001D2657" w:rsidRPr="001D2657" w:rsidRDefault="001D2657" w:rsidP="001D26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lang w:val="en-US"/>
              </w:rPr>
            </w:pPr>
          </w:p>
          <w:p w:rsidR="001D2657" w:rsidRPr="001D2657" w:rsidRDefault="001D2657" w:rsidP="001D26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lang w:val="en-US"/>
              </w:rPr>
            </w:pPr>
          </w:p>
        </w:tc>
      </w:tr>
      <w:tr w:rsidR="001D2657" w:rsidRPr="001D2657" w:rsidTr="00DC2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  <w:tcBorders>
              <w:top w:val="single" w:sz="4" w:space="0" w:color="auto"/>
            </w:tcBorders>
            <w:hideMark/>
          </w:tcPr>
          <w:p w:rsidR="001D2657" w:rsidRPr="001D2657" w:rsidRDefault="001D2657" w:rsidP="001D2657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G‘oya / sketsa</w:t>
            </w:r>
          </w:p>
        </w:tc>
        <w:tc>
          <w:tcPr>
            <w:tcW w:w="3372" w:type="dxa"/>
            <w:tcBorders>
              <w:top w:val="single" w:sz="4" w:space="0" w:color="auto"/>
            </w:tcBorders>
            <w:hideMark/>
          </w:tcPr>
          <w:p w:rsidR="001D2657" w:rsidRPr="001D2657" w:rsidRDefault="001D2657" w:rsidP="001D26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  <w:lang w:val="en-US"/>
              </w:rPr>
              <w:t>Free-form shakl, rang, tekstura</w:t>
            </w:r>
          </w:p>
        </w:tc>
        <w:tc>
          <w:tcPr>
            <w:tcW w:w="3775" w:type="dxa"/>
            <w:tcBorders>
              <w:top w:val="single" w:sz="4" w:space="0" w:color="auto"/>
            </w:tcBorders>
            <w:hideMark/>
          </w:tcPr>
          <w:p w:rsidR="001D2657" w:rsidRPr="001D2657" w:rsidRDefault="001D2657" w:rsidP="001D26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Talablar, ishlash sharoitlari, materiallar</w:t>
            </w:r>
          </w:p>
        </w:tc>
      </w:tr>
      <w:tr w:rsidR="001D2657" w:rsidRPr="001D2657" w:rsidTr="00DC2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  <w:hideMark/>
          </w:tcPr>
          <w:p w:rsidR="001D2657" w:rsidRPr="001D2657" w:rsidRDefault="001D2657" w:rsidP="001D2657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3D model</w:t>
            </w:r>
          </w:p>
        </w:tc>
        <w:tc>
          <w:tcPr>
            <w:tcW w:w="3372" w:type="dxa"/>
            <w:hideMark/>
          </w:tcPr>
          <w:p w:rsidR="001D2657" w:rsidRPr="001D2657" w:rsidRDefault="001D2657" w:rsidP="001D26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Estetik sinov, foydalanuvchi tajribasi</w:t>
            </w:r>
          </w:p>
        </w:tc>
        <w:tc>
          <w:tcPr>
            <w:tcW w:w="3775" w:type="dxa"/>
            <w:hideMark/>
          </w:tcPr>
          <w:p w:rsidR="001D2657" w:rsidRPr="001D2657" w:rsidRDefault="001D2657" w:rsidP="001D26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Geometriya, montaj, tahlil</w:t>
            </w:r>
          </w:p>
        </w:tc>
      </w:tr>
      <w:tr w:rsidR="001D2657" w:rsidRPr="001D2657" w:rsidTr="00DC2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  <w:hideMark/>
          </w:tcPr>
          <w:p w:rsidR="001D2657" w:rsidRPr="001D2657" w:rsidRDefault="001D2657" w:rsidP="001D2657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Sinov / prototip</w:t>
            </w:r>
          </w:p>
        </w:tc>
        <w:tc>
          <w:tcPr>
            <w:tcW w:w="3372" w:type="dxa"/>
            <w:hideMark/>
          </w:tcPr>
          <w:p w:rsidR="001D2657" w:rsidRPr="001D2657" w:rsidRDefault="001D2657" w:rsidP="001D26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  <w:lang w:val="en-US"/>
              </w:rPr>
              <w:t>Vizual ko‘rinish, foydalanuvchi his-tuyg‘ulari</w:t>
            </w:r>
          </w:p>
        </w:tc>
        <w:tc>
          <w:tcPr>
            <w:tcW w:w="3775" w:type="dxa"/>
            <w:hideMark/>
          </w:tcPr>
          <w:p w:rsidR="001D2657" w:rsidRPr="001D2657" w:rsidRDefault="001D2657" w:rsidP="001D26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Mustahkamlik, ishlab chiqarish qulayligi</w:t>
            </w:r>
          </w:p>
        </w:tc>
      </w:tr>
      <w:tr w:rsidR="001D2657" w:rsidRPr="001D2657" w:rsidTr="00DC29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  <w:hideMark/>
          </w:tcPr>
          <w:p w:rsidR="001D2657" w:rsidRPr="001D2657" w:rsidRDefault="001D2657" w:rsidP="001D2657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Final loyiha</w:t>
            </w:r>
          </w:p>
        </w:tc>
        <w:tc>
          <w:tcPr>
            <w:tcW w:w="3372" w:type="dxa"/>
            <w:hideMark/>
          </w:tcPr>
          <w:p w:rsidR="001D2657" w:rsidRPr="001D2657" w:rsidRDefault="001D2657" w:rsidP="001D26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</w:rPr>
              <w:t>Dizayn elementlari, brending</w:t>
            </w:r>
          </w:p>
        </w:tc>
        <w:tc>
          <w:tcPr>
            <w:tcW w:w="3775" w:type="dxa"/>
            <w:hideMark/>
          </w:tcPr>
          <w:p w:rsidR="001D2657" w:rsidRPr="001D2657" w:rsidRDefault="001D2657" w:rsidP="001D26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1D2657">
              <w:rPr>
                <w:rFonts w:ascii="Times New Roman" w:eastAsia="Calibri" w:hAnsi="Times New Roman" w:cs="Times New Roman"/>
                <w:sz w:val="28"/>
                <w:lang w:val="en-US"/>
              </w:rPr>
              <w:t>Norma-me’yorlar, hujjatlar, ishlab chiqarishga moslik</w:t>
            </w:r>
          </w:p>
        </w:tc>
      </w:tr>
    </w:tbl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1D2657" w:rsidRPr="001D2657" w:rsidRDefault="001D2657" w:rsidP="001D26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Texnik obʹyektlarni konstruksiyalash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modellashtirish, hamda badiiy-modellashtirish va dizayn jarayonlari bugungi muhandislik va dizayn sohalarining kesishtiruvchi nuqtasidir.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 modellashtirish usullari — parametrik dizayn, BIM, funktsional-strukturaviy model kabilar — konstruktsiyalarni samarali loyihalashga xizmat qiladi.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Badiiy-modellashtirish esa shakl, estetik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foydalanuvchi jihatlarini integratsiyalashga imkon beradi. Ushbu ikki yondashuvni uyg‘un qo‘llash orqali yuqori sifatli, funksional, estetik jihatdan jozibali </w:t>
      </w:r>
      <w:proofErr w:type="gramStart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gramEnd"/>
      <w:r w:rsidRPr="001D265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ishlab chiqarishga tayyor obʹyektlar yaratish mumkin.</w:t>
      </w:r>
    </w:p>
    <w:p w:rsidR="008F63BC" w:rsidRPr="001D2657" w:rsidRDefault="008F63BC">
      <w:pPr>
        <w:rPr>
          <w:lang w:val="en-US"/>
        </w:rPr>
      </w:pPr>
      <w:bookmarkStart w:id="0" w:name="_GoBack"/>
      <w:bookmarkEnd w:id="0"/>
    </w:p>
    <w:sectPr w:rsidR="008F63BC" w:rsidRPr="001D26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4322CD"/>
    <w:multiLevelType w:val="multilevel"/>
    <w:tmpl w:val="8188A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2F053F"/>
    <w:multiLevelType w:val="hybridMultilevel"/>
    <w:tmpl w:val="C526C188"/>
    <w:lvl w:ilvl="0" w:tplc="4E766A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7967E8"/>
    <w:multiLevelType w:val="multilevel"/>
    <w:tmpl w:val="9332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80566E"/>
    <w:multiLevelType w:val="multilevel"/>
    <w:tmpl w:val="26E8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A74B73"/>
    <w:multiLevelType w:val="multilevel"/>
    <w:tmpl w:val="7AE6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6C6540"/>
    <w:multiLevelType w:val="multilevel"/>
    <w:tmpl w:val="2C90F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F514910"/>
    <w:multiLevelType w:val="multilevel"/>
    <w:tmpl w:val="8B801B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5E8"/>
    <w:rsid w:val="001D2657"/>
    <w:rsid w:val="008F63BC"/>
    <w:rsid w:val="00C0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GridTable4Accent5">
    <w:name w:val="Grid Table 4 Accent 5"/>
    <w:basedOn w:val="a1"/>
    <w:uiPriority w:val="49"/>
    <w:rsid w:val="001D2657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Ind w:w="0" w:type="dxa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styleId="a3">
    <w:name w:val="Balloon Text"/>
    <w:basedOn w:val="a"/>
    <w:link w:val="a4"/>
    <w:uiPriority w:val="99"/>
    <w:semiHidden/>
    <w:unhideWhenUsed/>
    <w:rsid w:val="001D2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D26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GridTable4Accent5">
    <w:name w:val="Grid Table 4 Accent 5"/>
    <w:basedOn w:val="a1"/>
    <w:uiPriority w:val="49"/>
    <w:rsid w:val="001D2657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Ind w:w="0" w:type="dxa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styleId="a3">
    <w:name w:val="Balloon Text"/>
    <w:basedOn w:val="a"/>
    <w:link w:val="a4"/>
    <w:uiPriority w:val="99"/>
    <w:semiHidden/>
    <w:unhideWhenUsed/>
    <w:rsid w:val="001D2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D26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1794</Words>
  <Characters>10227</Characters>
  <Application>Microsoft Office Word</Application>
  <DocSecurity>0</DocSecurity>
  <Lines>85</Lines>
  <Paragraphs>23</Paragraphs>
  <ScaleCrop>false</ScaleCrop>
  <Company/>
  <LinksUpToDate>false</LinksUpToDate>
  <CharactersWithSpaces>11998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2026-05-20T15:01:00Z</dcterms:created>
  <dcterms:modified xsi:type="dcterms:W3CDTF">2026-05-20T15:02:00Z</dcterms:modified>
</cp:coreProperties>
</file>