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2EC" w:rsidRPr="00992943" w:rsidRDefault="00ED62EC" w:rsidP="00992943">
      <w:pPr>
        <w:pStyle w:val="1"/>
        <w:jc w:val="center"/>
        <w:rPr>
          <w:rFonts w:hint="eastAsia"/>
          <w:sz w:val="40"/>
        </w:rPr>
      </w:pPr>
      <w:r w:rsidRPr="009D6BA6">
        <w:rPr>
          <w:rFonts w:hint="eastAsia"/>
          <w:sz w:val="40"/>
        </w:rPr>
        <w:t>科技报告系统</w:t>
      </w:r>
    </w:p>
    <w:p w:rsidR="007B3EC8" w:rsidRPr="009D6BA6" w:rsidRDefault="0059706B" w:rsidP="009D6BA6">
      <w:pPr>
        <w:ind w:firstLineChars="200" w:firstLine="480"/>
        <w:rPr>
          <w:rFonts w:ascii="微软雅黑" w:eastAsia="微软雅黑" w:hAnsi="微软雅黑"/>
          <w:sz w:val="22"/>
        </w:rPr>
      </w:pPr>
      <w:r w:rsidRPr="009D6BA6">
        <w:rPr>
          <w:rFonts w:ascii="微软雅黑" w:eastAsia="微软雅黑" w:hAnsi="微软雅黑" w:hint="eastAsia"/>
          <w:sz w:val="24"/>
        </w:rPr>
        <w:t>科技报告是科技人员为了描述其从事的科研、设计、工程、试验和鉴定等活动的过程、进展和结果，按照规定的标准格式编写而成的特种文献。科技报告产生自各类科研项目的研究活动之中，详实记载了项目研究工作的全过程，包括成功的经验和失败的教训，是科技文献信息的重要组成部分。科技报告内容详实、专深，能如实、完整、及时地描述科研的基本原理、方法、技术、工艺和过程等，科技管理部门和科研工作者依据科技报告中的描述能够评价科研结果的真实性和合理性。</w:t>
      </w:r>
    </w:p>
    <w:p w:rsidR="007B3EC8" w:rsidRPr="00CD4148" w:rsidRDefault="00992943" w:rsidP="009D6BA6">
      <w:pPr>
        <w:pStyle w:val="2"/>
        <w:rPr>
          <w:rFonts w:hint="eastAsia"/>
        </w:rPr>
      </w:pPr>
      <w:r w:rsidRPr="00CD4148">
        <w:rPr>
          <w:rFonts w:hint="eastAsia"/>
        </w:rPr>
        <w:t>一、</w:t>
      </w:r>
      <w:r w:rsidR="007B3EC8" w:rsidRPr="00CD4148">
        <w:rPr>
          <w:rFonts w:hint="eastAsia"/>
        </w:rPr>
        <w:t>科技报告的主要工作内容和流程</w:t>
      </w:r>
    </w:p>
    <w:p w:rsidR="007B3EC8" w:rsidRPr="009D6BA6" w:rsidRDefault="007B3EC8" w:rsidP="009D6BA6">
      <w:pPr>
        <w:ind w:firstLineChars="200" w:firstLine="480"/>
        <w:rPr>
          <w:rFonts w:ascii="微软雅黑" w:eastAsia="微软雅黑" w:hAnsi="微软雅黑" w:hint="eastAsia"/>
          <w:sz w:val="24"/>
        </w:rPr>
      </w:pPr>
      <w:r w:rsidRPr="009D6BA6">
        <w:rPr>
          <w:rFonts w:ascii="微软雅黑" w:eastAsia="微软雅黑" w:hAnsi="微软雅黑" w:hint="eastAsia"/>
          <w:sz w:val="24"/>
        </w:rPr>
        <w:t xml:space="preserve"> 科技报告工作需要从根本上纳入科技项目管理程序，将科技报告的编写和呈交纳入任务合同书的预期成果和考核指标中。科技报告工作主要包括以下几方面的内容和流程：</w:t>
      </w:r>
    </w:p>
    <w:p w:rsidR="007B3EC8" w:rsidRPr="009D6BA6" w:rsidRDefault="007B3EC8" w:rsidP="009D6BA6">
      <w:pPr>
        <w:ind w:firstLineChars="200" w:firstLine="480"/>
        <w:rPr>
          <w:rFonts w:ascii="微软雅黑" w:eastAsia="微软雅黑" w:hAnsi="微软雅黑" w:hint="eastAsia"/>
          <w:sz w:val="24"/>
        </w:rPr>
      </w:pPr>
      <w:r w:rsidRPr="009D6BA6">
        <w:rPr>
          <w:rFonts w:ascii="微软雅黑" w:eastAsia="微软雅黑" w:hAnsi="微软雅黑" w:hint="eastAsia"/>
          <w:sz w:val="24"/>
        </w:rPr>
        <w:t xml:space="preserve"> （1）下达科技报告任务。科技计划项目的申请单位，应当在立项报告的成果形式栏中写入呈交科技报告的内容。科技计划管理部门下达任务合同书时应明确规定呈交科技报告的类型、数量和时限等。</w:t>
      </w:r>
    </w:p>
    <w:p w:rsidR="007B3EC8" w:rsidRPr="009D6BA6" w:rsidRDefault="007B3EC8" w:rsidP="009D6BA6">
      <w:pPr>
        <w:ind w:firstLineChars="200" w:firstLine="480"/>
        <w:rPr>
          <w:rFonts w:ascii="微软雅黑" w:eastAsia="微软雅黑" w:hAnsi="微软雅黑" w:hint="eastAsia"/>
          <w:sz w:val="24"/>
        </w:rPr>
      </w:pPr>
      <w:r w:rsidRPr="009D6BA6">
        <w:rPr>
          <w:rFonts w:ascii="微软雅黑" w:eastAsia="微软雅黑" w:hAnsi="微软雅黑" w:hint="eastAsia"/>
          <w:sz w:val="24"/>
        </w:rPr>
        <w:t xml:space="preserve"> （2）撰写科技报告。科技计划项目负责人或主要成员按照任务合同书的要求，按规定撰写科技报告，对技术秘密等信息进行标记，设定密级或受限范围，并提交给本单位的科研管理部门或科技报告联络人。</w:t>
      </w:r>
    </w:p>
    <w:p w:rsidR="007B3EC8" w:rsidRPr="009D6BA6" w:rsidRDefault="007B3EC8" w:rsidP="009D6BA6">
      <w:pPr>
        <w:ind w:firstLineChars="200" w:firstLine="480"/>
        <w:rPr>
          <w:rFonts w:ascii="微软雅黑" w:eastAsia="微软雅黑" w:hAnsi="微软雅黑" w:hint="eastAsia"/>
          <w:sz w:val="24"/>
        </w:rPr>
      </w:pPr>
      <w:r w:rsidRPr="009D6BA6">
        <w:rPr>
          <w:rFonts w:ascii="微软雅黑" w:eastAsia="微软雅黑" w:hAnsi="微软雅黑" w:hint="eastAsia"/>
          <w:sz w:val="24"/>
        </w:rPr>
        <w:t xml:space="preserve"> （3）审核和提交科技报告。项目承担单位对本单位产生的科技报告进行格式审查、内容审查和保密审查，并将审核合格的将非涉密科技报告全文按照计划</w:t>
      </w:r>
      <w:r w:rsidRPr="009D6BA6">
        <w:rPr>
          <w:rFonts w:ascii="微软雅黑" w:eastAsia="微软雅黑" w:hAnsi="微软雅黑" w:hint="eastAsia"/>
          <w:sz w:val="24"/>
        </w:rPr>
        <w:lastRenderedPageBreak/>
        <w:t>管理渠道进行提交。</w:t>
      </w:r>
    </w:p>
    <w:p w:rsidR="007B3EC8" w:rsidRPr="009D6BA6" w:rsidRDefault="007B3EC8" w:rsidP="009D6BA6">
      <w:pPr>
        <w:ind w:firstLineChars="200" w:firstLine="480"/>
        <w:rPr>
          <w:rFonts w:ascii="微软雅黑" w:eastAsia="微软雅黑" w:hAnsi="微软雅黑" w:hint="eastAsia"/>
          <w:sz w:val="24"/>
        </w:rPr>
      </w:pPr>
      <w:r w:rsidRPr="009D6BA6">
        <w:rPr>
          <w:rFonts w:ascii="微软雅黑" w:eastAsia="微软雅黑" w:hAnsi="微软雅黑" w:hint="eastAsia"/>
          <w:sz w:val="24"/>
        </w:rPr>
        <w:t xml:space="preserve"> （4）验收和评审科技报告。各立项管理部门在组织项目验收时，根据任务合同书的要求，审核科技报告的完成情况。未按要求完成科技报告任务的项目，原则上不予通过验收。同时确保将合格的科技报告移交到科技报告管理中心。</w:t>
      </w:r>
    </w:p>
    <w:p w:rsidR="007B3EC8" w:rsidRPr="009D6BA6" w:rsidRDefault="007B3EC8" w:rsidP="009D6BA6">
      <w:pPr>
        <w:ind w:firstLineChars="200" w:firstLine="480"/>
        <w:rPr>
          <w:rFonts w:ascii="微软雅黑" w:eastAsia="微软雅黑" w:hAnsi="微软雅黑"/>
          <w:sz w:val="24"/>
        </w:rPr>
      </w:pPr>
      <w:r w:rsidRPr="009D6BA6">
        <w:rPr>
          <w:rFonts w:ascii="微软雅黑" w:eastAsia="微软雅黑" w:hAnsi="微软雅黑" w:hint="eastAsia"/>
          <w:sz w:val="24"/>
        </w:rPr>
        <w:t xml:space="preserve"> （5）科技报告的交流利用。科技报告管理中心负责接收和管理合格的科技报告。同时，将严格按照使用范围限制开展利用工作，并及时将公开或解密的科技报告全文和受限科技报告元数据信息上交国家科技报告管理中心。</w:t>
      </w:r>
    </w:p>
    <w:p w:rsidR="00992943" w:rsidRPr="00992943" w:rsidRDefault="009D6BA6" w:rsidP="00992943">
      <w:pPr>
        <w:ind w:firstLineChars="200" w:firstLine="480"/>
        <w:rPr>
          <w:rFonts w:ascii="微软雅黑" w:eastAsia="微软雅黑" w:hAnsi="微软雅黑" w:hint="eastAsia"/>
          <w:sz w:val="24"/>
        </w:rPr>
      </w:pPr>
      <w:r w:rsidRPr="009D6BA6">
        <w:rPr>
          <w:rFonts w:ascii="微软雅黑" w:eastAsia="微软雅黑" w:hAnsi="微软雅黑" w:hint="eastAsia"/>
          <w:sz w:val="24"/>
        </w:rPr>
        <w:t>流程如下图</w:t>
      </w:r>
    </w:p>
    <w:p w:rsidR="00AA0DC7" w:rsidRDefault="00992943" w:rsidP="00AA0DC7">
      <w:pPr>
        <w:widowControl/>
        <w:jc w:val="left"/>
        <w:rPr>
          <w:rFonts w:ascii="微软雅黑" w:eastAsia="微软雅黑" w:hAnsi="微软雅黑" w:cs="宋体"/>
          <w:kern w:val="0"/>
          <w:sz w:val="32"/>
          <w:szCs w:val="24"/>
        </w:rPr>
      </w:pPr>
      <w:r>
        <w:rPr>
          <w:rFonts w:ascii="微软雅黑" w:eastAsia="微软雅黑" w:hAnsi="微软雅黑" w:cs="宋体"/>
          <w:noProof/>
          <w:kern w:val="0"/>
          <w:sz w:val="32"/>
          <w:szCs w:val="24"/>
        </w:rPr>
        <w:lastRenderedPageBreak/>
        <mc:AlternateContent>
          <mc:Choice Requires="wpg">
            <w:drawing>
              <wp:anchor distT="0" distB="0" distL="114300" distR="114300" simplePos="0" relativeHeight="251665408" behindDoc="0" locked="0" layoutInCell="1" allowOverlap="1">
                <wp:simplePos x="0" y="0"/>
                <wp:positionH relativeFrom="column">
                  <wp:posOffset>0</wp:posOffset>
                </wp:positionH>
                <wp:positionV relativeFrom="paragraph">
                  <wp:posOffset>152400</wp:posOffset>
                </wp:positionV>
                <wp:extent cx="5457825" cy="6029325"/>
                <wp:effectExtent l="0" t="0" r="28575" b="28575"/>
                <wp:wrapNone/>
                <wp:docPr id="8" name="组合 8"/>
                <wp:cNvGraphicFramePr/>
                <a:graphic xmlns:a="http://schemas.openxmlformats.org/drawingml/2006/main">
                  <a:graphicData uri="http://schemas.microsoft.com/office/word/2010/wordprocessingGroup">
                    <wpg:wgp>
                      <wpg:cNvGrpSpPr/>
                      <wpg:grpSpPr>
                        <a:xfrm>
                          <a:off x="0" y="0"/>
                          <a:ext cx="5457825" cy="6029325"/>
                          <a:chOff x="0" y="0"/>
                          <a:chExt cx="5457825" cy="6029325"/>
                        </a:xfrm>
                      </wpg:grpSpPr>
                      <wps:wsp>
                        <wps:cNvPr id="217" name="文本框 2"/>
                        <wps:cNvSpPr txBox="1">
                          <a:spLocks noChangeArrowheads="1"/>
                        </wps:cNvSpPr>
                        <wps:spPr bwMode="auto">
                          <a:xfrm>
                            <a:off x="0" y="0"/>
                            <a:ext cx="5038725" cy="1695450"/>
                          </a:xfrm>
                          <a:prstGeom prst="rect">
                            <a:avLst/>
                          </a:prstGeom>
                          <a:solidFill>
                            <a:srgbClr val="FFFFFF">
                              <a:alpha val="40000"/>
                            </a:srgbClr>
                          </a:solidFill>
                          <a:ln w="9525">
                            <a:solidFill>
                              <a:srgbClr val="000000"/>
                            </a:solidFill>
                            <a:miter lim="800000"/>
                            <a:headEnd/>
                            <a:tailEnd/>
                          </a:ln>
                        </wps:spPr>
                        <wps:txbx>
                          <w:txbxContent>
                            <w:p w:rsidR="001F57DF" w:rsidRPr="00C8177C" w:rsidRDefault="001F57DF" w:rsidP="00C8177C">
                              <w:pPr>
                                <w:jc w:val="left"/>
                                <w:rPr>
                                  <w:rFonts w:hint="eastAsia"/>
                                  <w:b/>
                                  <w:sz w:val="52"/>
                                </w:rPr>
                              </w:pPr>
                              <w:r w:rsidRPr="00C8177C">
                                <w:rPr>
                                  <w:b/>
                                  <w:sz w:val="52"/>
                                </w:rPr>
                                <w:t>呈</w:t>
                              </w:r>
                              <w:r w:rsidRPr="00C8177C">
                                <w:rPr>
                                  <w:rFonts w:hint="eastAsia"/>
                                  <w:b/>
                                  <w:sz w:val="52"/>
                                </w:rPr>
                                <w:t>交</w:t>
                              </w:r>
                              <w:r w:rsidRPr="00C8177C">
                                <w:rPr>
                                  <w:b/>
                                  <w:sz w:val="52"/>
                                </w:rPr>
                                <w:t>系统</w:t>
                              </w:r>
                            </w:p>
                          </w:txbxContent>
                        </wps:txbx>
                        <wps:bodyPr rot="0" vert="eaVert" wrap="square" lIns="91440" tIns="45720" rIns="91440" bIns="45720" anchor="t" anchorCtr="0">
                          <a:noAutofit/>
                        </wps:bodyPr>
                      </wps:wsp>
                      <wps:wsp>
                        <wps:cNvPr id="4" name="文本框 2"/>
                        <wps:cNvSpPr txBox="1">
                          <a:spLocks noChangeArrowheads="1"/>
                        </wps:cNvSpPr>
                        <wps:spPr bwMode="auto">
                          <a:xfrm>
                            <a:off x="0" y="1771650"/>
                            <a:ext cx="5029200" cy="2695575"/>
                          </a:xfrm>
                          <a:prstGeom prst="rect">
                            <a:avLst/>
                          </a:prstGeom>
                          <a:solidFill>
                            <a:srgbClr val="FFFFFF">
                              <a:alpha val="40000"/>
                            </a:srgbClr>
                          </a:solidFill>
                          <a:ln w="9525">
                            <a:solidFill>
                              <a:srgbClr val="000000"/>
                            </a:solidFill>
                            <a:miter lim="800000"/>
                            <a:headEnd/>
                            <a:tailEnd/>
                          </a:ln>
                        </wps:spPr>
                        <wps:txbx>
                          <w:txbxContent>
                            <w:p w:rsidR="001F57DF" w:rsidRPr="00C8177C" w:rsidRDefault="001F57DF" w:rsidP="00C8177C">
                              <w:pPr>
                                <w:jc w:val="left"/>
                                <w:rPr>
                                  <w:rFonts w:hint="eastAsia"/>
                                  <w:b/>
                                  <w:sz w:val="52"/>
                                </w:rPr>
                              </w:pPr>
                              <w:r w:rsidRPr="00C8177C">
                                <w:rPr>
                                  <w:b/>
                                  <w:sz w:val="52"/>
                                </w:rPr>
                                <w:t>审核</w:t>
                              </w:r>
                              <w:r w:rsidRPr="00C8177C">
                                <w:rPr>
                                  <w:b/>
                                  <w:sz w:val="52"/>
                                </w:rPr>
                                <w:t>系统</w:t>
                              </w:r>
                            </w:p>
                          </w:txbxContent>
                        </wps:txbx>
                        <wps:bodyPr rot="0" vert="eaVert" wrap="square" lIns="91440" tIns="45720" rIns="91440" bIns="45720" anchor="t" anchorCtr="0">
                          <a:noAutofit/>
                        </wps:bodyPr>
                      </wps:wsp>
                      <wps:wsp>
                        <wps:cNvPr id="5" name="文本框 2"/>
                        <wps:cNvSpPr txBox="1">
                          <a:spLocks noChangeArrowheads="1"/>
                        </wps:cNvSpPr>
                        <wps:spPr bwMode="auto">
                          <a:xfrm>
                            <a:off x="0" y="4543425"/>
                            <a:ext cx="5019675" cy="1485900"/>
                          </a:xfrm>
                          <a:prstGeom prst="rect">
                            <a:avLst/>
                          </a:prstGeom>
                          <a:solidFill>
                            <a:srgbClr val="FFFFFF">
                              <a:alpha val="40000"/>
                            </a:srgbClr>
                          </a:solidFill>
                          <a:ln w="9525">
                            <a:solidFill>
                              <a:srgbClr val="000000"/>
                            </a:solidFill>
                            <a:miter lim="800000"/>
                            <a:headEnd/>
                            <a:tailEnd/>
                          </a:ln>
                        </wps:spPr>
                        <wps:txbx>
                          <w:txbxContent>
                            <w:p w:rsidR="001F57DF" w:rsidRPr="00C8177C" w:rsidRDefault="001F57DF" w:rsidP="00C8177C">
                              <w:pPr>
                                <w:jc w:val="left"/>
                                <w:rPr>
                                  <w:rFonts w:hint="eastAsia"/>
                                  <w:b/>
                                  <w:sz w:val="52"/>
                                </w:rPr>
                              </w:pPr>
                              <w:r w:rsidRPr="00C8177C">
                                <w:rPr>
                                  <w:rFonts w:hint="eastAsia"/>
                                  <w:b/>
                                  <w:sz w:val="52"/>
                                </w:rPr>
                                <w:t>服务</w:t>
                              </w:r>
                              <w:r w:rsidRPr="00C8177C">
                                <w:rPr>
                                  <w:b/>
                                  <w:sz w:val="52"/>
                                </w:rPr>
                                <w:t>系统</w:t>
                              </w:r>
                            </w:p>
                          </w:txbxContent>
                        </wps:txbx>
                        <wps:bodyPr rot="0" vert="eaVert" wrap="square" lIns="91440" tIns="45720" rIns="91440" bIns="45720" anchor="t" anchorCtr="0">
                          <a:noAutofit/>
                        </wps:bodyPr>
                      </wps:wsp>
                      <wps:wsp>
                        <wps:cNvPr id="6" name="右弧形箭头 6"/>
                        <wps:cNvSpPr/>
                        <wps:spPr>
                          <a:xfrm>
                            <a:off x="5076825" y="523875"/>
                            <a:ext cx="381000" cy="216217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右弧形箭头 7"/>
                        <wps:cNvSpPr/>
                        <wps:spPr>
                          <a:xfrm>
                            <a:off x="5057775" y="3228975"/>
                            <a:ext cx="390525" cy="208597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8" o:spid="_x0000_s1026" style="position:absolute;margin-left:0;margin-top:12pt;width:429.75pt;height:474.75pt;z-index:251665408" coordsize="54578,60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">
                <v:shapetype id="_x0000_t202" coordsize="21600,21600" o:spt="202" path="m,l,21600r21600,l21600,xe">
                  <v:stroke joinstyle="miter"/>
                  <v:path gradientshapeok="t" o:connecttype="rect"/>
                </v:shapetype>
                <v:shape id="文本框 2" o:spid="_x0000_s1027" type="#_x0000_t202" style="position:absolute;width:50387;height:16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wYr8YA&#10;AADcAAAADwAAAGRycy9kb3ducmV2LnhtbESPzW7CMBCE75X6DtYi9QYOaQs0YBBCavm78NMHWOIl&#10;jojXUexCePu6ElKPo5n5RjOZtbYSV2p86VhBv5eAIM6dLrlQ8H387I5A+ICssXJMCu7kYTZ9fppg&#10;pt2N93Q9hEJECPsMFZgQ6kxKnxuy6HuuJo7e2TUWQ5RNIXWDtwi3lUyTZCAtlhwXDNa0MJRfDj9W&#10;wdKcvl7rzWKernert+X2/eOeXLRSL512PgYRqA3/4Ud7pRWk/SH8nYlH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JwYr8YAAADcAAAADwAAAAAAAAAAAAAAAACYAgAAZHJz&#10;L2Rvd25yZXYueG1sUEsFBgAAAAAEAAQA9QAAAIsDAAAAAA==&#10;">
                  <v:fill opacity="26214f"/>
                  <v:textbox style="layout-flow:vertical-ideographic">
                    <w:txbxContent>
                      <w:p w:rsidR="001F57DF" w:rsidRPr="00C8177C" w:rsidRDefault="001F57DF" w:rsidP="00C8177C">
                        <w:pPr>
                          <w:jc w:val="left"/>
                          <w:rPr>
                            <w:rFonts w:hint="eastAsia"/>
                            <w:b/>
                            <w:sz w:val="52"/>
                          </w:rPr>
                        </w:pPr>
                        <w:r w:rsidRPr="00C8177C">
                          <w:rPr>
                            <w:b/>
                            <w:sz w:val="52"/>
                          </w:rPr>
                          <w:t>呈</w:t>
                        </w:r>
                        <w:r w:rsidRPr="00C8177C">
                          <w:rPr>
                            <w:rFonts w:hint="eastAsia"/>
                            <w:b/>
                            <w:sz w:val="52"/>
                          </w:rPr>
                          <w:t>交</w:t>
                        </w:r>
                        <w:r w:rsidRPr="00C8177C">
                          <w:rPr>
                            <w:b/>
                            <w:sz w:val="52"/>
                          </w:rPr>
                          <w:t>系统</w:t>
                        </w:r>
                      </w:p>
                    </w:txbxContent>
                  </v:textbox>
                </v:shape>
                <v:shape id="文本框 2" o:spid="_x0000_s1028" type="#_x0000_t202" style="position:absolute;top:17716;width:50292;height:26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kdoMMA&#10;AADaAAAADwAAAGRycy9kb3ducmV2LnhtbESP3WoCMRSE7wu+QzhC72pWq6KrUUTwp+2Nfw9w3Bw3&#10;i5uTZRN1fftGKPRymJlvmOm8saW4U+0Lxwq6nQQEceZ0wbmC03H1MQLhA7LG0jEpeJKH+az1NsVU&#10;uwfv6X4IuYgQ9ikqMCFUqZQ+M2TRd1xFHL2Lqy2GKOtc6hofEW5L2UuSobRYcFwwWNHSUHY93KyC&#10;jTmvP6vv5aL3tdv2Nz+D8TO5aqXe281iAiJQE/7Df+2tVtCH15V4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kdoMMAAADaAAAADwAAAAAAAAAAAAAAAACYAgAAZHJzL2Rv&#10;d25yZXYueG1sUEsFBgAAAAAEAAQA9QAAAIgDAAAAAA==&#10;">
                  <v:fill opacity="26214f"/>
                  <v:textbox style="layout-flow:vertical-ideographic">
                    <w:txbxContent>
                      <w:p w:rsidR="001F57DF" w:rsidRPr="00C8177C" w:rsidRDefault="001F57DF" w:rsidP="00C8177C">
                        <w:pPr>
                          <w:jc w:val="left"/>
                          <w:rPr>
                            <w:rFonts w:hint="eastAsia"/>
                            <w:b/>
                            <w:sz w:val="52"/>
                          </w:rPr>
                        </w:pPr>
                        <w:r w:rsidRPr="00C8177C">
                          <w:rPr>
                            <w:b/>
                            <w:sz w:val="52"/>
                          </w:rPr>
                          <w:t>审核</w:t>
                        </w:r>
                        <w:r w:rsidRPr="00C8177C">
                          <w:rPr>
                            <w:b/>
                            <w:sz w:val="52"/>
                          </w:rPr>
                          <w:t>系统</w:t>
                        </w:r>
                      </w:p>
                    </w:txbxContent>
                  </v:textbox>
                </v:shape>
                <v:shape id="文本框 2" o:spid="_x0000_s1029" type="#_x0000_t202" style="position:absolute;top:45434;width:50196;height:14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W4O8MA&#10;AADaAAAADwAAAGRycy9kb3ducmV2LnhtbESP3WoCMRSE7wu+QzhC7zSrraKrUUTwp+2Nfw9w3Bw3&#10;i5uTZRN1ffumIPRymJlvmOm8saW4U+0Lxwp63QQEceZ0wbmC03HVGYHwAVlj6ZgUPMnDfNZ6m2Kq&#10;3YP3dD+EXEQI+xQVmBCqVEqfGbLou64ijt7F1RZDlHUudY2PCLel7CfJUFosOC4YrGhpKLseblbB&#10;xpzXH9X3ctH/2m0/Nz+D8TO5aqXe281iAiJQE/7Dr/ZWKxjA35V4A+T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W4O8MAAADaAAAADwAAAAAAAAAAAAAAAACYAgAAZHJzL2Rv&#10;d25yZXYueG1sUEsFBgAAAAAEAAQA9QAAAIgDAAAAAA==&#10;">
                  <v:fill opacity="26214f"/>
                  <v:textbox style="layout-flow:vertical-ideographic">
                    <w:txbxContent>
                      <w:p w:rsidR="001F57DF" w:rsidRPr="00C8177C" w:rsidRDefault="001F57DF" w:rsidP="00C8177C">
                        <w:pPr>
                          <w:jc w:val="left"/>
                          <w:rPr>
                            <w:rFonts w:hint="eastAsia"/>
                            <w:b/>
                            <w:sz w:val="52"/>
                          </w:rPr>
                        </w:pPr>
                        <w:r w:rsidRPr="00C8177C">
                          <w:rPr>
                            <w:rFonts w:hint="eastAsia"/>
                            <w:b/>
                            <w:sz w:val="52"/>
                          </w:rPr>
                          <w:t>服务</w:t>
                        </w:r>
                        <w:r w:rsidRPr="00C8177C">
                          <w:rPr>
                            <w:b/>
                            <w:sz w:val="52"/>
                          </w:rPr>
                          <w:t>系统</w:t>
                        </w:r>
                      </w:p>
                    </w:txbxContent>
                  </v:textbox>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右弧形箭头 6" o:spid="_x0000_s1030" type="#_x0000_t103" style="position:absolute;left:50768;top:5238;width:3810;height:21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IAGsIA&#10;AADaAAAADwAAAGRycy9kb3ducmV2LnhtbESPQWsCMRSE7wX/Q3iCt5ptDyKrUZaKoN50q+DtNXnd&#10;LG5elk3qrv/eFAo9DjPzDbNcD64Rd+pC7VnB2zQDQay9qblS8FluX+cgQkQ22HgmBQ8KsF6NXpaY&#10;G9/zke6nWIkE4ZCjAhtjm0sZtCWHYepb4uR9+85hTLKrpOmwT3DXyPcsm0mHNacFiy19WNK3049T&#10;UPZFEQ/2vN/czsNGf5Vzfb0EpSbjoViAiDTE//Bfe2cUzOD3Sro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ogAawgAAANoAAAAPAAAAAAAAAAAAAAAAAJgCAABkcnMvZG93&#10;bnJldi54bWxQSwUGAAAAAAQABAD1AAAAhwMAAAAA&#10;" adj="19697,21124,5400" fillcolor="#5b9bd5 [3204]" strokecolor="#1f4d78 [1604]" strokeweight="1pt"/>
                <v:shape id="右弧形箭头 7" o:spid="_x0000_s1031" type="#_x0000_t103" style="position:absolute;left:50577;top:32289;width:3906;height:208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1kT8AA&#10;AADaAAAADwAAAGRycy9kb3ducmV2LnhtbESPzarCMBSE9xd8h3AEd9dUQb1Uo4iiiCv/14fm2Fab&#10;k9LEWt/eCMJdDjPzDTOZNaYQNVUut6yg141AECdW55wqOB1Xv38gnEfWWFgmBS9yMJu2fiYYa/vk&#10;PdUHn4oAYRejgsz7MpbSJRkZdF1bEgfvaiuDPsgqlbrCZ4CbQvajaCgN5hwWMixpkVFyPzyMAjfY&#10;zbeX46If1cvmdufbujc6G6U67WY+BuGp8f/hb3ujFYzgcyXcAD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H1kT8AAAADaAAAADwAAAAAAAAAAAAAAAACYAgAAZHJzL2Rvd25y&#10;ZXYueG1sUEsFBgAAAAAEAAQA9QAAAIUDAAAAAA==&#10;" adj="19578,21094,5400" fillcolor="#5b9bd5 [3204]" strokecolor="#1f4d78 [1604]" strokeweight="1pt"/>
              </v:group>
            </w:pict>
          </mc:Fallback>
        </mc:AlternateContent>
      </w:r>
      <w:r w:rsidR="00AA0DC7" w:rsidRPr="009D6BA6">
        <w:rPr>
          <w:rFonts w:ascii="微软雅黑" w:eastAsia="微软雅黑" w:hAnsi="微软雅黑" w:cs="宋体"/>
          <w:noProof/>
          <w:kern w:val="0"/>
          <w:sz w:val="32"/>
          <w:szCs w:val="24"/>
        </w:rPr>
        <w:drawing>
          <wp:inline distT="0" distB="0" distL="0" distR="0" wp14:anchorId="250CD951" wp14:editId="78F9CA05">
            <wp:extent cx="4705350" cy="5695950"/>
            <wp:effectExtent l="0" t="0" r="0" b="0"/>
            <wp:docPr id="1" name="图片 1" descr="C:\Users\mdb\AppData\Roaming\Tencent\Users\4945737\QQ\WinTemp\RichOle\Z{G1L133PANZ$}}OTL4OW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db\AppData\Roaming\Tencent\Users\4945737\QQ\WinTemp\RichOle\Z{G1L133PANZ$}}OTL4OWC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350" cy="5695950"/>
                    </a:xfrm>
                    <a:prstGeom prst="rect">
                      <a:avLst/>
                    </a:prstGeom>
                    <a:noFill/>
                    <a:ln>
                      <a:noFill/>
                    </a:ln>
                  </pic:spPr>
                </pic:pic>
              </a:graphicData>
            </a:graphic>
          </wp:inline>
        </w:drawing>
      </w:r>
    </w:p>
    <w:p w:rsidR="00AA0DC7" w:rsidRPr="00CD4148" w:rsidRDefault="00992943" w:rsidP="009D6BA6">
      <w:pPr>
        <w:pStyle w:val="2"/>
        <w:rPr>
          <w:rFonts w:hint="eastAsia"/>
        </w:rPr>
      </w:pPr>
      <w:r w:rsidRPr="00CD4148">
        <w:rPr>
          <w:rFonts w:hint="eastAsia"/>
        </w:rPr>
        <w:lastRenderedPageBreak/>
        <w:t>二、</w:t>
      </w:r>
      <w:r w:rsidR="009D6BA6" w:rsidRPr="00CD4148">
        <w:rPr>
          <w:rFonts w:hint="eastAsia"/>
        </w:rPr>
        <w:t>科技报告组成及编写总体要求</w:t>
      </w:r>
    </w:p>
    <w:p w:rsidR="00ED62EC" w:rsidRPr="009D6BA6" w:rsidRDefault="009D6BA6" w:rsidP="00ED62EC">
      <w:pPr>
        <w:widowControl/>
        <w:jc w:val="left"/>
        <w:rPr>
          <w:rFonts w:ascii="微软雅黑" w:eastAsia="微软雅黑" w:hAnsi="微软雅黑" w:cs="宋体"/>
          <w:kern w:val="0"/>
          <w:sz w:val="32"/>
          <w:szCs w:val="24"/>
        </w:rPr>
      </w:pPr>
      <w:r w:rsidRPr="009D6BA6">
        <w:rPr>
          <w:rFonts w:ascii="微软雅黑" w:eastAsia="微软雅黑" w:hAnsi="微软雅黑" w:cs="宋体"/>
          <w:noProof/>
          <w:kern w:val="0"/>
          <w:sz w:val="32"/>
          <w:szCs w:val="24"/>
        </w:rPr>
        <w:drawing>
          <wp:inline distT="0" distB="0" distL="0" distR="0" wp14:anchorId="67FFBC8E" wp14:editId="58F188EC">
            <wp:extent cx="5274310" cy="3190432"/>
            <wp:effectExtent l="0" t="0" r="2540" b="0"/>
            <wp:docPr id="3" name="图片 3" descr="C:\Users\mdb\AppData\Roaming\Tencent\Users\4945737\QQ\WinTemp\RichOle\@%(C4Q%}2)$J)7[R(_TTW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db\AppData\Roaming\Tencent\Users\4945737\QQ\WinTemp\RichOle\@%(C4Q%}2)$J)7[R(_TTWR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90432"/>
                    </a:xfrm>
                    <a:prstGeom prst="rect">
                      <a:avLst/>
                    </a:prstGeom>
                    <a:noFill/>
                    <a:ln>
                      <a:noFill/>
                    </a:ln>
                  </pic:spPr>
                </pic:pic>
              </a:graphicData>
            </a:graphic>
          </wp:inline>
        </w:drawing>
      </w:r>
      <w:r w:rsidR="00ED62EC" w:rsidRPr="009D6BA6">
        <w:rPr>
          <w:rFonts w:ascii="微软雅黑" w:eastAsia="微软雅黑" w:hAnsi="微软雅黑" w:cs="宋体"/>
          <w:noProof/>
          <w:kern w:val="0"/>
          <w:sz w:val="32"/>
          <w:szCs w:val="24"/>
        </w:rPr>
        <w:drawing>
          <wp:inline distT="0" distB="0" distL="0" distR="0" wp14:anchorId="58EA3994" wp14:editId="2CAFC0A7">
            <wp:extent cx="5734800" cy="3700800"/>
            <wp:effectExtent l="0" t="0" r="0" b="0"/>
            <wp:docPr id="2" name="图片 2" descr="C:\Users\mdb\AppData\Roaming\Tencent\Users\4945737\QQ\WinTemp\RichOle\`{P5B3V2~[XNQ([P6S@(56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db\AppData\Roaming\Tencent\Users\4945737\QQ\WinTemp\RichOle\`{P5B3V2~[XNQ([P6S@(56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800" cy="3700800"/>
                    </a:xfrm>
                    <a:prstGeom prst="rect">
                      <a:avLst/>
                    </a:prstGeom>
                    <a:noFill/>
                    <a:ln>
                      <a:noFill/>
                    </a:ln>
                  </pic:spPr>
                </pic:pic>
              </a:graphicData>
            </a:graphic>
          </wp:inline>
        </w:drawing>
      </w:r>
    </w:p>
    <w:p w:rsidR="00ED62EC" w:rsidRPr="009D6BA6" w:rsidRDefault="00ED62EC" w:rsidP="00ED62EC">
      <w:pPr>
        <w:widowControl/>
        <w:jc w:val="left"/>
        <w:rPr>
          <w:rFonts w:ascii="微软雅黑" w:eastAsia="微软雅黑" w:hAnsi="微软雅黑" w:cs="宋体"/>
          <w:kern w:val="0"/>
          <w:sz w:val="32"/>
          <w:szCs w:val="24"/>
        </w:rPr>
      </w:pPr>
    </w:p>
    <w:p w:rsidR="00ED62EC" w:rsidRPr="00ED62EC" w:rsidRDefault="00ED62EC" w:rsidP="00ED62EC">
      <w:pPr>
        <w:widowControl/>
        <w:jc w:val="left"/>
        <w:rPr>
          <w:rFonts w:ascii="微软雅黑" w:eastAsia="微软雅黑" w:hAnsi="微软雅黑" w:cs="宋体"/>
          <w:kern w:val="0"/>
          <w:sz w:val="32"/>
          <w:szCs w:val="24"/>
        </w:rPr>
      </w:pPr>
    </w:p>
    <w:p w:rsidR="007B3EC8" w:rsidRPr="009D6BA6" w:rsidRDefault="007B3EC8" w:rsidP="007B3EC8">
      <w:pPr>
        <w:rPr>
          <w:rFonts w:ascii="微软雅黑" w:eastAsia="微软雅黑" w:hAnsi="微软雅黑" w:hint="eastAsia"/>
          <w:sz w:val="24"/>
        </w:rPr>
      </w:pPr>
    </w:p>
    <w:p w:rsidR="00992943" w:rsidRPr="00CD4148" w:rsidRDefault="00992943" w:rsidP="00992943">
      <w:pPr>
        <w:rPr>
          <w:rFonts w:ascii="微软雅黑" w:eastAsia="微软雅黑" w:hAnsi="微软雅黑"/>
          <w:b/>
          <w:sz w:val="28"/>
        </w:rPr>
      </w:pPr>
      <w:r w:rsidRPr="00CD4148">
        <w:rPr>
          <w:rFonts w:ascii="微软雅黑" w:eastAsia="微软雅黑" w:hAnsi="微软雅黑" w:hint="eastAsia"/>
          <w:b/>
          <w:sz w:val="28"/>
        </w:rPr>
        <w:lastRenderedPageBreak/>
        <w:t>三、科技报告系统</w:t>
      </w:r>
    </w:p>
    <w:p w:rsidR="00992943" w:rsidRPr="009D6BA6" w:rsidRDefault="00992943" w:rsidP="00992943">
      <w:pPr>
        <w:ind w:firstLineChars="200" w:firstLine="480"/>
        <w:rPr>
          <w:rFonts w:ascii="微软雅黑" w:eastAsia="微软雅黑" w:hAnsi="微软雅黑" w:hint="eastAsia"/>
          <w:b/>
          <w:sz w:val="24"/>
        </w:rPr>
      </w:pPr>
      <w:r w:rsidRPr="009D6BA6">
        <w:rPr>
          <w:rFonts w:ascii="微软雅黑" w:eastAsia="微软雅黑" w:hAnsi="微软雅黑" w:hint="eastAsia"/>
          <w:sz w:val="24"/>
        </w:rPr>
        <w:t>（</w:t>
      </w:r>
      <w:r>
        <w:rPr>
          <w:rFonts w:ascii="微软雅黑" w:eastAsia="微软雅黑" w:hAnsi="微软雅黑" w:hint="eastAsia"/>
          <w:sz w:val="24"/>
        </w:rPr>
        <w:t>1</w:t>
      </w:r>
      <w:r w:rsidRPr="009D6BA6">
        <w:rPr>
          <w:rFonts w:ascii="微软雅黑" w:eastAsia="微软雅黑" w:hAnsi="微软雅黑" w:hint="eastAsia"/>
          <w:sz w:val="24"/>
        </w:rPr>
        <w:t>）</w:t>
      </w:r>
      <w:r w:rsidRPr="009D6BA6">
        <w:rPr>
          <w:rFonts w:ascii="微软雅黑" w:eastAsia="微软雅黑" w:hAnsi="微软雅黑" w:hint="eastAsia"/>
          <w:b/>
          <w:sz w:val="24"/>
        </w:rPr>
        <w:t>科技报告呈交</w:t>
      </w:r>
      <w:r>
        <w:rPr>
          <w:rFonts w:ascii="微软雅黑" w:eastAsia="微软雅黑" w:hAnsi="微软雅黑" w:hint="eastAsia"/>
          <w:b/>
          <w:sz w:val="24"/>
        </w:rPr>
        <w:t>系统</w:t>
      </w:r>
    </w:p>
    <w:p w:rsidR="00992943" w:rsidRDefault="00992943" w:rsidP="007B3EC8">
      <w:pPr>
        <w:rPr>
          <w:rFonts w:ascii="微软雅黑" w:eastAsia="微软雅黑" w:hAnsi="微软雅黑"/>
          <w:sz w:val="24"/>
        </w:rPr>
      </w:pPr>
      <w:r w:rsidRPr="009D6BA6">
        <w:rPr>
          <w:rFonts w:ascii="微软雅黑" w:eastAsia="微软雅黑" w:hAnsi="微软雅黑" w:hint="eastAsia"/>
          <w:sz w:val="24"/>
        </w:rPr>
        <w:t xml:space="preserve"> 　　科技报告的呈交和收集一般可以采取两种模式，一种是在项目（课题）结题验收之前，项目承担者通过立项部门指定的项目管理信息系统，按照项目信息管理的程序要求和规定的提交方法、提交格式进行科技报告的呈交。另一种是项目承担者将科技报告呈交到立项管理部门指定的科技报告收藏管理中心，并由收藏管理中心出具收藏证明，作为项目结题验收的依据。</w:t>
      </w:r>
    </w:p>
    <w:p w:rsidR="00D67C1E" w:rsidRDefault="00D67C1E" w:rsidP="00D67C1E">
      <w:pPr>
        <w:ind w:firstLineChars="200" w:firstLine="480"/>
        <w:rPr>
          <w:rFonts w:ascii="微软雅黑" w:eastAsia="微软雅黑" w:hAnsi="微软雅黑" w:hint="eastAsia"/>
          <w:sz w:val="24"/>
        </w:rPr>
      </w:pPr>
      <w:r>
        <w:rPr>
          <w:rFonts w:ascii="微软雅黑" w:eastAsia="微软雅黑" w:hAnsi="微软雅黑" w:hint="eastAsia"/>
          <w:sz w:val="24"/>
        </w:rPr>
        <w:t>整体信息保送流程如下：</w:t>
      </w:r>
    </w:p>
    <w:p w:rsidR="00D67C1E" w:rsidRPr="00D67C1E" w:rsidRDefault="00D67C1E" w:rsidP="00D67C1E">
      <w:pPr>
        <w:widowControl/>
        <w:jc w:val="left"/>
        <w:rPr>
          <w:rFonts w:ascii="宋体" w:eastAsia="宋体" w:hAnsi="宋体" w:cs="宋体"/>
          <w:kern w:val="0"/>
          <w:sz w:val="24"/>
          <w:szCs w:val="24"/>
        </w:rPr>
      </w:pPr>
      <w:r w:rsidRPr="00D67C1E">
        <w:rPr>
          <w:rFonts w:ascii="宋体" w:eastAsia="宋体" w:hAnsi="宋体" w:cs="宋体"/>
          <w:noProof/>
          <w:kern w:val="0"/>
          <w:sz w:val="24"/>
          <w:szCs w:val="24"/>
        </w:rPr>
        <w:drawing>
          <wp:inline distT="0" distB="0" distL="0" distR="0">
            <wp:extent cx="6213600" cy="3859200"/>
            <wp:effectExtent l="0" t="0" r="0" b="8255"/>
            <wp:docPr id="9" name="图片 9" descr="C:\Users\mdb\AppData\Roaming\Tencent\Users\4945737\QQ\WinTemp\RichOle\G$5G27~%~`51U6QM2YK70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db\AppData\Roaming\Tencent\Users\4945737\QQ\WinTemp\RichOle\G$5G27~%~`51U6QM2YK70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3600" cy="3859200"/>
                    </a:xfrm>
                    <a:prstGeom prst="rect">
                      <a:avLst/>
                    </a:prstGeom>
                    <a:noFill/>
                    <a:ln>
                      <a:noFill/>
                    </a:ln>
                  </pic:spPr>
                </pic:pic>
              </a:graphicData>
            </a:graphic>
          </wp:inline>
        </w:drawing>
      </w:r>
    </w:p>
    <w:p w:rsidR="00D67C1E" w:rsidRPr="008430A6" w:rsidRDefault="00D67C1E" w:rsidP="007B3EC8">
      <w:pPr>
        <w:rPr>
          <w:rFonts w:hint="eastAsia"/>
          <w:sz w:val="24"/>
        </w:rPr>
      </w:pPr>
    </w:p>
    <w:p w:rsidR="007B3EC8" w:rsidRPr="009D6BA6" w:rsidRDefault="00992943" w:rsidP="00992943">
      <w:pPr>
        <w:ind w:firstLineChars="200" w:firstLine="480"/>
        <w:rPr>
          <w:rFonts w:ascii="微软雅黑" w:eastAsia="微软雅黑" w:hAnsi="微软雅黑"/>
          <w:b/>
          <w:sz w:val="24"/>
        </w:rPr>
      </w:pPr>
      <w:r w:rsidRPr="009D6BA6">
        <w:rPr>
          <w:rFonts w:ascii="微软雅黑" w:eastAsia="微软雅黑" w:hAnsi="微软雅黑" w:hint="eastAsia"/>
          <w:sz w:val="24"/>
        </w:rPr>
        <w:t>（</w:t>
      </w:r>
      <w:r>
        <w:rPr>
          <w:rFonts w:ascii="微软雅黑" w:eastAsia="微软雅黑" w:hAnsi="微软雅黑" w:hint="eastAsia"/>
          <w:sz w:val="24"/>
        </w:rPr>
        <w:t>2</w:t>
      </w:r>
      <w:r w:rsidRPr="009D6BA6">
        <w:rPr>
          <w:rFonts w:ascii="微软雅黑" w:eastAsia="微软雅黑" w:hAnsi="微软雅黑" w:hint="eastAsia"/>
          <w:sz w:val="24"/>
        </w:rPr>
        <w:t>）</w:t>
      </w:r>
      <w:r w:rsidR="007B3EC8" w:rsidRPr="009D6BA6">
        <w:rPr>
          <w:rFonts w:ascii="微软雅黑" w:eastAsia="微软雅黑" w:hAnsi="微软雅黑" w:hint="eastAsia"/>
          <w:b/>
          <w:sz w:val="24"/>
        </w:rPr>
        <w:t>科技报告审核</w:t>
      </w:r>
      <w:r>
        <w:rPr>
          <w:rFonts w:ascii="微软雅黑" w:eastAsia="微软雅黑" w:hAnsi="微软雅黑" w:hint="eastAsia"/>
          <w:b/>
          <w:sz w:val="24"/>
        </w:rPr>
        <w:t>系统</w:t>
      </w:r>
    </w:p>
    <w:p w:rsidR="007B3EC8" w:rsidRPr="009D6BA6" w:rsidRDefault="007B3EC8" w:rsidP="007F0AC1">
      <w:pPr>
        <w:ind w:firstLineChars="200" w:firstLine="480"/>
        <w:rPr>
          <w:rFonts w:ascii="微软雅黑" w:eastAsia="微软雅黑" w:hAnsi="微软雅黑" w:hint="eastAsia"/>
          <w:sz w:val="24"/>
        </w:rPr>
      </w:pPr>
      <w:r w:rsidRPr="009D6BA6">
        <w:rPr>
          <w:rFonts w:ascii="微软雅黑" w:eastAsia="微软雅黑" w:hAnsi="微软雅黑" w:hint="eastAsia"/>
          <w:sz w:val="24"/>
        </w:rPr>
        <w:t>科技报告在撰写完成后，一般需要经过项目承担单位和项目主管部门两级审核。在科技报告呈交前，项目（课题）承担单位应组织专家按照相关标准、规定和规范，对科技报告进行格式审查、内容审查和密级审查。格式审查主要依据《科</w:t>
      </w:r>
      <w:r w:rsidRPr="009D6BA6">
        <w:rPr>
          <w:rFonts w:ascii="微软雅黑" w:eastAsia="微软雅黑" w:hAnsi="微软雅黑" w:hint="eastAsia"/>
          <w:sz w:val="24"/>
        </w:rPr>
        <w:lastRenderedPageBreak/>
        <w:t>技报告编写规则》的有关要求，检查各部分的必备要素是否完备，各数据项的填写是否准确、完整、一致。按照《科技报告编号规则》（GB/T15416）的有关规定赋予科技报告基层编号。内容审查主要是从专业读者的角度，对科技报告的论述是否清晰、系统、完整、可读等进行分析评判。比如，对于试验报告，要审查这类报告是否包含了试验条件、试验设备、试验数据及相应的结果分析等关键内容，里面的描述是否有参考利用价值等。密级审查主要是审查科技报告的密级设置是否合理，确保对科技报告中涉及的技术秘密、商业秘密、专利等知识产权信息进行了标记和适当的处理，确保对科技报告的使用范围等进行了合理的设定。以在保证国家对核心技术资源的知情权和合理控制权的同时，保护项目承担单位和科研人员的合法权益。</w:t>
      </w:r>
    </w:p>
    <w:p w:rsidR="007B3EC8" w:rsidRDefault="007B3EC8" w:rsidP="007F0AC1">
      <w:pPr>
        <w:ind w:firstLineChars="200" w:firstLine="480"/>
        <w:rPr>
          <w:rFonts w:ascii="微软雅黑" w:eastAsia="微软雅黑" w:hAnsi="微软雅黑"/>
          <w:sz w:val="24"/>
        </w:rPr>
      </w:pPr>
      <w:r w:rsidRPr="009D6BA6">
        <w:rPr>
          <w:rFonts w:ascii="微软雅黑" w:eastAsia="微软雅黑" w:hAnsi="微软雅黑" w:hint="eastAsia"/>
          <w:sz w:val="24"/>
        </w:rPr>
        <w:t xml:space="preserve"> 在科技报告呈交后，项目主管部门或科技报告管理中心还要对科技报告进行格式和密级的二次审查。对审查合格的科技报告进行收藏，并可以出具合格或收藏证明。对于审查不合格的科技报告，应退回修改。</w:t>
      </w:r>
    </w:p>
    <w:p w:rsidR="00992943" w:rsidRPr="00E63E20" w:rsidRDefault="00992943" w:rsidP="007F0AC1">
      <w:pPr>
        <w:ind w:firstLineChars="200" w:firstLine="480"/>
        <w:rPr>
          <w:rFonts w:ascii="微软雅黑" w:eastAsia="微软雅黑" w:hAnsi="微软雅黑"/>
          <w:b/>
          <w:sz w:val="24"/>
        </w:rPr>
      </w:pPr>
      <w:r w:rsidRPr="00E63E20">
        <w:rPr>
          <w:rFonts w:ascii="微软雅黑" w:eastAsia="微软雅黑" w:hAnsi="微软雅黑" w:hint="eastAsia"/>
          <w:b/>
          <w:sz w:val="24"/>
        </w:rPr>
        <w:t>（</w:t>
      </w:r>
      <w:r w:rsidRPr="00E63E20">
        <w:rPr>
          <w:rFonts w:ascii="微软雅黑" w:eastAsia="微软雅黑" w:hAnsi="微软雅黑" w:hint="eastAsia"/>
          <w:b/>
          <w:sz w:val="24"/>
        </w:rPr>
        <w:t>3</w:t>
      </w:r>
      <w:r w:rsidRPr="00E63E20">
        <w:rPr>
          <w:rFonts w:ascii="微软雅黑" w:eastAsia="微软雅黑" w:hAnsi="微软雅黑" w:hint="eastAsia"/>
          <w:b/>
          <w:sz w:val="24"/>
        </w:rPr>
        <w:t>）</w:t>
      </w:r>
      <w:r w:rsidRPr="00E63E20">
        <w:rPr>
          <w:rFonts w:ascii="微软雅黑" w:eastAsia="微软雅黑" w:hAnsi="微软雅黑" w:hint="eastAsia"/>
          <w:b/>
          <w:sz w:val="24"/>
        </w:rPr>
        <w:t>科技报告服务系统</w:t>
      </w:r>
    </w:p>
    <w:p w:rsidR="00E63E20" w:rsidRDefault="00E63E20" w:rsidP="00E63E20">
      <w:pPr>
        <w:ind w:firstLineChars="200" w:firstLine="480"/>
        <w:rPr>
          <w:rFonts w:ascii="微软雅黑" w:eastAsia="微软雅黑" w:hAnsi="微软雅黑"/>
          <w:sz w:val="24"/>
        </w:rPr>
      </w:pPr>
      <w:r w:rsidRPr="00E63E20">
        <w:rPr>
          <w:rFonts w:ascii="微软雅黑" w:eastAsia="微软雅黑" w:hAnsi="微软雅黑" w:hint="eastAsia"/>
          <w:sz w:val="24"/>
        </w:rPr>
        <w:t>科技报告共享服务将采取“分级分类管理、受控受限使用”的方式进行。</w:t>
      </w:r>
      <w:r w:rsidRPr="00E63E20">
        <w:rPr>
          <w:rFonts w:ascii="微软雅黑" w:eastAsia="微软雅黑" w:hAnsi="微软雅黑" w:hint="eastAsia"/>
          <w:sz w:val="24"/>
        </w:rPr>
        <w:t>报告分为公开、内部、保密三种类型，分类提供服务。</w:t>
      </w:r>
      <w:r>
        <w:rPr>
          <w:rFonts w:ascii="微软雅黑" w:eastAsia="微软雅黑" w:hAnsi="微软雅黑"/>
          <w:sz w:val="24"/>
        </w:rPr>
        <w:t xml:space="preserve"> </w:t>
      </w:r>
    </w:p>
    <w:p w:rsidR="00E63E20" w:rsidRPr="00E63E20" w:rsidRDefault="00E63E20" w:rsidP="00E63E20">
      <w:pPr>
        <w:ind w:firstLineChars="200" w:firstLine="480"/>
        <w:rPr>
          <w:rFonts w:ascii="微软雅黑" w:eastAsia="微软雅黑" w:hAnsi="微软雅黑"/>
          <w:sz w:val="24"/>
        </w:rPr>
      </w:pPr>
      <w:r>
        <w:rPr>
          <w:rFonts w:ascii="微软雅黑" w:eastAsia="微软雅黑" w:hAnsi="微软雅黑"/>
          <w:sz w:val="24"/>
        </w:rPr>
        <w:t>1、</w:t>
      </w:r>
      <w:r w:rsidRPr="00E63E20">
        <w:rPr>
          <w:rFonts w:ascii="微软雅黑" w:eastAsia="微软雅黑" w:hAnsi="微软雅黑" w:hint="eastAsia"/>
          <w:sz w:val="24"/>
        </w:rPr>
        <w:t>使用范围为“公开”的科技报告全文，以及使用范围为“延期公开”的科技报告的摘要等元数据信息，将在科技报告共享服务平台上向全社会开放共享。用户通过实名注册后才能获取全文服务。</w:t>
      </w:r>
      <w:r w:rsidRPr="00E63E20">
        <w:rPr>
          <w:rFonts w:ascii="微软雅黑" w:eastAsia="微软雅黑" w:hAnsi="微软雅黑"/>
          <w:sz w:val="24"/>
        </w:rPr>
        <w:t xml:space="preserve"> </w:t>
      </w:r>
    </w:p>
    <w:p w:rsidR="00E63E20" w:rsidRDefault="00E63E20" w:rsidP="00E63E20">
      <w:pPr>
        <w:ind w:firstLineChars="200" w:firstLine="480"/>
        <w:rPr>
          <w:rFonts w:ascii="微软雅黑" w:eastAsia="微软雅黑" w:hAnsi="微软雅黑"/>
          <w:sz w:val="24"/>
        </w:rPr>
      </w:pPr>
      <w:r>
        <w:rPr>
          <w:rFonts w:ascii="微软雅黑" w:eastAsia="微软雅黑" w:hAnsi="微软雅黑" w:hint="eastAsia"/>
          <w:sz w:val="24"/>
        </w:rPr>
        <w:t>2、</w:t>
      </w:r>
      <w:r w:rsidRPr="00E63E20">
        <w:rPr>
          <w:rFonts w:ascii="微软雅黑" w:eastAsia="微软雅黑" w:hAnsi="微软雅黑" w:hint="eastAsia"/>
          <w:sz w:val="24"/>
        </w:rPr>
        <w:t>对于使用范围为“延期公开”的科技报告，只能联系课题人员索取。延期公开期满后按公开级科技报告管理使用。</w:t>
      </w:r>
    </w:p>
    <w:p w:rsidR="00E63E20" w:rsidRPr="00E63E20" w:rsidRDefault="00E63E20" w:rsidP="00E63E20">
      <w:pPr>
        <w:ind w:firstLineChars="200" w:firstLine="480"/>
        <w:rPr>
          <w:rFonts w:ascii="微软雅黑" w:eastAsia="微软雅黑" w:hAnsi="微软雅黑"/>
          <w:sz w:val="24"/>
        </w:rPr>
      </w:pPr>
      <w:r>
        <w:rPr>
          <w:rFonts w:ascii="微软雅黑" w:eastAsia="微软雅黑" w:hAnsi="微软雅黑" w:hint="eastAsia"/>
          <w:sz w:val="24"/>
        </w:rPr>
        <w:t>3、</w:t>
      </w:r>
      <w:r w:rsidRPr="00E63E20">
        <w:rPr>
          <w:rFonts w:ascii="微软雅黑" w:eastAsia="微软雅黑" w:hAnsi="微软雅黑" w:hint="eastAsia"/>
          <w:sz w:val="24"/>
        </w:rPr>
        <w:t>对于保密科技报告，纳入国家保密信息管理体系，严格按照国家相关保</w:t>
      </w:r>
      <w:r w:rsidRPr="00E63E20">
        <w:rPr>
          <w:rFonts w:ascii="微软雅黑" w:eastAsia="微软雅黑" w:hAnsi="微软雅黑" w:hint="eastAsia"/>
          <w:sz w:val="24"/>
        </w:rPr>
        <w:lastRenderedPageBreak/>
        <w:t>密规定管理和使用，通过专门渠道服务。</w:t>
      </w:r>
    </w:p>
    <w:p w:rsidR="00E63E20" w:rsidRPr="00E63E20" w:rsidRDefault="00E63E20" w:rsidP="00E63E20">
      <w:pPr>
        <w:ind w:firstLineChars="200" w:firstLine="480"/>
        <w:rPr>
          <w:rFonts w:ascii="微软雅黑" w:eastAsia="微软雅黑" w:hAnsi="微软雅黑" w:hint="eastAsia"/>
          <w:sz w:val="24"/>
        </w:rPr>
      </w:pPr>
      <w:r>
        <w:rPr>
          <w:rFonts w:ascii="微软雅黑" w:eastAsia="微软雅黑" w:hAnsi="微软雅黑" w:hint="eastAsia"/>
          <w:sz w:val="24"/>
        </w:rPr>
        <w:t>用户分类管理：</w:t>
      </w:r>
      <w:r w:rsidRPr="00E63E20">
        <w:rPr>
          <w:rFonts w:ascii="微软雅黑" w:eastAsia="微软雅黑" w:hAnsi="微软雅黑" w:hint="eastAsia"/>
          <w:sz w:val="24"/>
        </w:rPr>
        <w:t>公众用户、专业用户、管理人员用户等。</w:t>
      </w:r>
    </w:p>
    <w:p w:rsidR="00E63E20" w:rsidRPr="00E63E20" w:rsidRDefault="00E63E20" w:rsidP="00E63E20">
      <w:pPr>
        <w:ind w:firstLineChars="200" w:firstLine="480"/>
        <w:rPr>
          <w:rFonts w:ascii="微软雅黑" w:eastAsia="微软雅黑" w:hAnsi="微软雅黑" w:hint="eastAsia"/>
          <w:sz w:val="24"/>
        </w:rPr>
      </w:pPr>
      <w:r>
        <w:rPr>
          <w:rFonts w:ascii="微软雅黑" w:eastAsia="微软雅黑" w:hAnsi="微软雅黑" w:hint="eastAsia"/>
          <w:sz w:val="24"/>
        </w:rPr>
        <w:t>1、</w:t>
      </w:r>
      <w:r w:rsidRPr="00E63E20">
        <w:rPr>
          <w:rFonts w:ascii="微软雅黑" w:eastAsia="微软雅黑" w:hAnsi="微软雅黑" w:hint="eastAsia"/>
          <w:sz w:val="24"/>
        </w:rPr>
        <w:t>社会公众</w:t>
      </w:r>
      <w:r>
        <w:rPr>
          <w:rFonts w:ascii="微软雅黑" w:eastAsia="微软雅黑" w:hAnsi="微软雅黑" w:hint="eastAsia"/>
          <w:sz w:val="24"/>
        </w:rPr>
        <w:t>——</w:t>
      </w:r>
      <w:r w:rsidRPr="00E63E20">
        <w:rPr>
          <w:rFonts w:ascii="微软雅黑" w:eastAsia="微软雅黑" w:hAnsi="微软雅黑" w:hint="eastAsia"/>
          <w:sz w:val="24"/>
        </w:rPr>
        <w:t>可以免费查询浏览报告摘要信息及课题相关成果信息</w:t>
      </w:r>
    </w:p>
    <w:p w:rsidR="00E63E20" w:rsidRDefault="00E63E20" w:rsidP="00E63E20">
      <w:pPr>
        <w:ind w:firstLineChars="200" w:firstLine="480"/>
        <w:rPr>
          <w:rFonts w:ascii="微软雅黑" w:eastAsia="微软雅黑" w:hAnsi="微软雅黑"/>
          <w:sz w:val="24"/>
        </w:rPr>
      </w:pPr>
      <w:r>
        <w:rPr>
          <w:rFonts w:ascii="微软雅黑" w:eastAsia="微软雅黑" w:hAnsi="微软雅黑" w:hint="eastAsia"/>
          <w:sz w:val="24"/>
        </w:rPr>
        <w:t>2、专业人员——</w:t>
      </w:r>
      <w:r w:rsidRPr="00E63E20">
        <w:rPr>
          <w:rFonts w:ascii="微软雅黑" w:eastAsia="微软雅黑" w:hAnsi="微软雅黑" w:hint="eastAsia"/>
          <w:sz w:val="24"/>
        </w:rPr>
        <w:t>经实名注册后可以在检索摘要信息基础上，免费在线浏览公开科技报 告全文。</w:t>
      </w:r>
    </w:p>
    <w:p w:rsidR="00E63E20" w:rsidRDefault="00E63E20" w:rsidP="00E63E20">
      <w:pPr>
        <w:ind w:firstLineChars="200" w:firstLine="480"/>
        <w:rPr>
          <w:rFonts w:ascii="微软雅黑" w:eastAsia="微软雅黑" w:hAnsi="微软雅黑"/>
          <w:sz w:val="24"/>
        </w:rPr>
      </w:pPr>
      <w:r>
        <w:rPr>
          <w:rFonts w:ascii="微软雅黑" w:eastAsia="微软雅黑" w:hAnsi="微软雅黑" w:hint="eastAsia"/>
          <w:sz w:val="24"/>
        </w:rPr>
        <w:t>3、</w:t>
      </w:r>
      <w:r w:rsidRPr="00E63E20">
        <w:rPr>
          <w:rFonts w:ascii="微软雅黑" w:eastAsia="微软雅黑" w:hAnsi="微软雅黑" w:hint="eastAsia"/>
          <w:sz w:val="24"/>
        </w:rPr>
        <w:t>管理人员</w:t>
      </w:r>
      <w:r>
        <w:rPr>
          <w:rFonts w:ascii="微软雅黑" w:eastAsia="微软雅黑" w:hAnsi="微软雅黑" w:hint="eastAsia"/>
          <w:sz w:val="24"/>
        </w:rPr>
        <w:t>——</w:t>
      </w:r>
      <w:r w:rsidRPr="00E63E20">
        <w:rPr>
          <w:rFonts w:ascii="微软雅黑" w:eastAsia="微软雅黑" w:hAnsi="微软雅黑" w:hint="eastAsia"/>
          <w:sz w:val="24"/>
        </w:rPr>
        <w:t>可以免费享有检索、浏览、全文下载和批准范围内的统计分析服务。</w:t>
      </w:r>
    </w:p>
    <w:p w:rsidR="00133533" w:rsidRDefault="00133533">
      <w:pPr>
        <w:widowControl/>
        <w:jc w:val="left"/>
        <w:rPr>
          <w:rFonts w:ascii="微软雅黑" w:eastAsia="微软雅黑" w:hAnsi="微软雅黑"/>
          <w:sz w:val="24"/>
        </w:rPr>
      </w:pPr>
      <w:r>
        <w:rPr>
          <w:rFonts w:ascii="微软雅黑" w:eastAsia="微软雅黑" w:hAnsi="微软雅黑"/>
          <w:sz w:val="24"/>
        </w:rPr>
        <w:br w:type="page"/>
      </w:r>
    </w:p>
    <w:p w:rsidR="00484D30" w:rsidRPr="00133533" w:rsidRDefault="00CD4148" w:rsidP="00CD4148">
      <w:pPr>
        <w:rPr>
          <w:rFonts w:ascii="微软雅黑" w:eastAsia="微软雅黑" w:hAnsi="微软雅黑"/>
          <w:b/>
          <w:sz w:val="28"/>
        </w:rPr>
      </w:pPr>
      <w:r w:rsidRPr="00CD4148">
        <w:rPr>
          <w:rFonts w:ascii="微软雅黑" w:eastAsia="微软雅黑" w:hAnsi="微软雅黑" w:hint="eastAsia"/>
          <w:b/>
          <w:sz w:val="28"/>
        </w:rPr>
        <w:lastRenderedPageBreak/>
        <w:t>四、宁波科技报告系统建设方案</w:t>
      </w:r>
    </w:p>
    <w:tbl>
      <w:tblPr>
        <w:tblW w:w="0" w:type="auto"/>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
        <w:gridCol w:w="645"/>
        <w:gridCol w:w="779"/>
        <w:gridCol w:w="760"/>
        <w:gridCol w:w="818"/>
        <w:gridCol w:w="628"/>
        <w:gridCol w:w="468"/>
        <w:gridCol w:w="611"/>
        <w:gridCol w:w="465"/>
        <w:gridCol w:w="723"/>
        <w:gridCol w:w="722"/>
        <w:gridCol w:w="788"/>
        <w:gridCol w:w="990"/>
      </w:tblGrid>
      <w:tr w:rsidR="00133533" w:rsidRPr="005D2234" w:rsidTr="00133533">
        <w:tc>
          <w:tcPr>
            <w:tcW w:w="0" w:type="auto"/>
            <w:vMerge w:val="restart"/>
            <w:shd w:val="clear" w:color="auto" w:fill="auto"/>
            <w:vAlign w:val="center"/>
          </w:tcPr>
          <w:p w:rsidR="00133533" w:rsidRPr="0063727B" w:rsidRDefault="00133533" w:rsidP="00B112E6">
            <w:pPr>
              <w:jc w:val="center"/>
              <w:rPr>
                <w:rFonts w:ascii="微软雅黑" w:eastAsia="微软雅黑" w:hAnsi="微软雅黑"/>
                <w:sz w:val="20"/>
                <w:szCs w:val="28"/>
              </w:rPr>
            </w:pPr>
            <w:r w:rsidRPr="0063727B">
              <w:rPr>
                <w:rFonts w:ascii="微软雅黑" w:eastAsia="微软雅黑" w:hAnsi="微软雅黑" w:hint="eastAsia"/>
                <w:sz w:val="20"/>
                <w:szCs w:val="28"/>
              </w:rPr>
              <w:t>合作对象</w:t>
            </w:r>
          </w:p>
        </w:tc>
        <w:tc>
          <w:tcPr>
            <w:tcW w:w="0" w:type="auto"/>
            <w:vMerge w:val="restart"/>
            <w:shd w:val="clear" w:color="auto" w:fill="auto"/>
            <w:vAlign w:val="center"/>
          </w:tcPr>
          <w:p w:rsidR="00133533" w:rsidRPr="0063727B" w:rsidRDefault="00133533" w:rsidP="00B112E6">
            <w:pPr>
              <w:jc w:val="center"/>
              <w:rPr>
                <w:rFonts w:ascii="微软雅黑" w:eastAsia="微软雅黑" w:hAnsi="微软雅黑"/>
                <w:sz w:val="20"/>
                <w:szCs w:val="28"/>
              </w:rPr>
            </w:pPr>
            <w:r w:rsidRPr="0063727B">
              <w:rPr>
                <w:rFonts w:ascii="微软雅黑" w:eastAsia="微软雅黑" w:hAnsi="微软雅黑" w:hint="eastAsia"/>
                <w:sz w:val="20"/>
                <w:szCs w:val="28"/>
              </w:rPr>
              <w:t>合作方式</w:t>
            </w:r>
          </w:p>
        </w:tc>
        <w:tc>
          <w:tcPr>
            <w:tcW w:w="0" w:type="auto"/>
            <w:gridSpan w:val="2"/>
            <w:shd w:val="clear" w:color="auto" w:fill="auto"/>
            <w:vAlign w:val="center"/>
          </w:tcPr>
          <w:p w:rsidR="00133533" w:rsidRPr="0063727B" w:rsidRDefault="00133533" w:rsidP="00B112E6">
            <w:pPr>
              <w:jc w:val="center"/>
              <w:rPr>
                <w:rFonts w:ascii="微软雅黑" w:eastAsia="微软雅黑" w:hAnsi="微软雅黑"/>
                <w:sz w:val="20"/>
                <w:szCs w:val="28"/>
              </w:rPr>
            </w:pPr>
            <w:r w:rsidRPr="0063727B">
              <w:rPr>
                <w:rFonts w:ascii="微软雅黑" w:eastAsia="微软雅黑" w:hAnsi="微软雅黑" w:hint="eastAsia"/>
                <w:sz w:val="20"/>
                <w:szCs w:val="28"/>
              </w:rPr>
              <w:t>合作双方角色</w:t>
            </w:r>
          </w:p>
        </w:tc>
        <w:tc>
          <w:tcPr>
            <w:tcW w:w="0" w:type="auto"/>
            <w:vMerge w:val="restart"/>
            <w:shd w:val="clear" w:color="auto" w:fill="auto"/>
            <w:vAlign w:val="center"/>
          </w:tcPr>
          <w:p w:rsidR="00133533" w:rsidRPr="0063727B" w:rsidRDefault="00133533" w:rsidP="00B112E6">
            <w:pPr>
              <w:jc w:val="center"/>
              <w:rPr>
                <w:rFonts w:ascii="微软雅黑" w:eastAsia="微软雅黑" w:hAnsi="微软雅黑"/>
                <w:sz w:val="20"/>
                <w:szCs w:val="28"/>
              </w:rPr>
            </w:pPr>
            <w:r w:rsidRPr="0063727B">
              <w:rPr>
                <w:rFonts w:ascii="微软雅黑" w:eastAsia="微软雅黑" w:hAnsi="微软雅黑" w:hint="eastAsia"/>
                <w:sz w:val="20"/>
                <w:szCs w:val="28"/>
              </w:rPr>
              <w:t>基础数据可控性</w:t>
            </w:r>
          </w:p>
        </w:tc>
        <w:tc>
          <w:tcPr>
            <w:tcW w:w="0" w:type="auto"/>
            <w:gridSpan w:val="3"/>
            <w:shd w:val="clear" w:color="auto" w:fill="auto"/>
            <w:vAlign w:val="center"/>
          </w:tcPr>
          <w:p w:rsidR="00133533" w:rsidRPr="0063727B" w:rsidRDefault="00133533" w:rsidP="00B112E6">
            <w:pPr>
              <w:jc w:val="center"/>
              <w:rPr>
                <w:rFonts w:ascii="微软雅黑" w:eastAsia="微软雅黑" w:hAnsi="微软雅黑"/>
                <w:sz w:val="20"/>
                <w:szCs w:val="28"/>
              </w:rPr>
            </w:pPr>
            <w:r w:rsidRPr="0063727B">
              <w:rPr>
                <w:rFonts w:ascii="微软雅黑" w:eastAsia="微软雅黑" w:hAnsi="微软雅黑" w:hint="eastAsia"/>
                <w:sz w:val="20"/>
                <w:szCs w:val="28"/>
              </w:rPr>
              <w:t>人员投入</w:t>
            </w:r>
          </w:p>
        </w:tc>
        <w:tc>
          <w:tcPr>
            <w:tcW w:w="0" w:type="auto"/>
            <w:vMerge w:val="restart"/>
            <w:shd w:val="clear" w:color="auto" w:fill="auto"/>
            <w:vAlign w:val="center"/>
          </w:tcPr>
          <w:p w:rsidR="00133533" w:rsidRPr="0063727B" w:rsidRDefault="00133533" w:rsidP="00B112E6">
            <w:pPr>
              <w:jc w:val="center"/>
              <w:rPr>
                <w:rFonts w:ascii="微软雅黑" w:eastAsia="微软雅黑" w:hAnsi="微软雅黑"/>
                <w:sz w:val="20"/>
                <w:szCs w:val="28"/>
              </w:rPr>
            </w:pPr>
            <w:r w:rsidRPr="0063727B">
              <w:rPr>
                <w:rFonts w:ascii="微软雅黑" w:eastAsia="微软雅黑" w:hAnsi="微软雅黑" w:hint="eastAsia"/>
                <w:sz w:val="20"/>
                <w:szCs w:val="28"/>
              </w:rPr>
              <w:t>基础设施建设</w:t>
            </w:r>
          </w:p>
        </w:tc>
        <w:tc>
          <w:tcPr>
            <w:tcW w:w="0" w:type="auto"/>
            <w:vMerge w:val="restart"/>
            <w:shd w:val="clear" w:color="auto" w:fill="auto"/>
            <w:vAlign w:val="center"/>
          </w:tcPr>
          <w:p w:rsidR="00133533" w:rsidRPr="0063727B" w:rsidRDefault="00133533" w:rsidP="00B112E6">
            <w:pPr>
              <w:jc w:val="center"/>
              <w:rPr>
                <w:rFonts w:ascii="微软雅黑" w:eastAsia="微软雅黑" w:hAnsi="微软雅黑"/>
                <w:sz w:val="20"/>
                <w:szCs w:val="28"/>
              </w:rPr>
            </w:pPr>
            <w:r w:rsidRPr="0063727B">
              <w:rPr>
                <w:rFonts w:ascii="微软雅黑" w:eastAsia="微软雅黑" w:hAnsi="微软雅黑" w:hint="eastAsia"/>
                <w:sz w:val="20"/>
                <w:szCs w:val="28"/>
              </w:rPr>
              <w:t>可扩</w:t>
            </w:r>
          </w:p>
          <w:p w:rsidR="00133533" w:rsidRPr="0063727B" w:rsidRDefault="00133533" w:rsidP="00B112E6">
            <w:pPr>
              <w:jc w:val="center"/>
              <w:rPr>
                <w:rFonts w:ascii="微软雅黑" w:eastAsia="微软雅黑" w:hAnsi="微软雅黑"/>
                <w:sz w:val="20"/>
                <w:szCs w:val="28"/>
              </w:rPr>
            </w:pPr>
            <w:r w:rsidRPr="0063727B">
              <w:rPr>
                <w:rFonts w:ascii="微软雅黑" w:eastAsia="微软雅黑" w:hAnsi="微软雅黑" w:hint="eastAsia"/>
                <w:sz w:val="20"/>
                <w:szCs w:val="28"/>
              </w:rPr>
              <w:t>展性</w:t>
            </w:r>
          </w:p>
        </w:tc>
        <w:tc>
          <w:tcPr>
            <w:tcW w:w="0" w:type="auto"/>
            <w:vMerge w:val="restart"/>
            <w:shd w:val="clear" w:color="auto" w:fill="auto"/>
            <w:vAlign w:val="center"/>
          </w:tcPr>
          <w:p w:rsidR="00133533" w:rsidRPr="0063727B" w:rsidRDefault="00133533" w:rsidP="00B112E6">
            <w:pPr>
              <w:jc w:val="center"/>
              <w:rPr>
                <w:rFonts w:ascii="微软雅黑" w:eastAsia="微软雅黑" w:hAnsi="微软雅黑"/>
                <w:sz w:val="20"/>
                <w:szCs w:val="28"/>
              </w:rPr>
            </w:pPr>
            <w:r w:rsidRPr="0063727B">
              <w:rPr>
                <w:rFonts w:ascii="微软雅黑" w:eastAsia="微软雅黑" w:hAnsi="微软雅黑" w:hint="eastAsia"/>
                <w:sz w:val="20"/>
                <w:szCs w:val="28"/>
              </w:rPr>
              <w:t>研发 运</w:t>
            </w:r>
            <w:proofErr w:type="gramStart"/>
            <w:r w:rsidRPr="0063727B">
              <w:rPr>
                <w:rFonts w:ascii="微软雅黑" w:eastAsia="微软雅黑" w:hAnsi="微软雅黑" w:hint="eastAsia"/>
                <w:sz w:val="20"/>
                <w:szCs w:val="28"/>
              </w:rPr>
              <w:t>维成本</w:t>
            </w:r>
            <w:proofErr w:type="gramEnd"/>
          </w:p>
        </w:tc>
        <w:tc>
          <w:tcPr>
            <w:tcW w:w="0" w:type="auto"/>
            <w:vMerge w:val="restart"/>
            <w:shd w:val="clear" w:color="auto" w:fill="auto"/>
            <w:vAlign w:val="center"/>
          </w:tcPr>
          <w:p w:rsidR="00133533" w:rsidRPr="0063727B" w:rsidRDefault="00133533" w:rsidP="00B112E6">
            <w:pPr>
              <w:jc w:val="center"/>
              <w:rPr>
                <w:rFonts w:ascii="微软雅黑" w:eastAsia="微软雅黑" w:hAnsi="微软雅黑"/>
                <w:sz w:val="20"/>
                <w:szCs w:val="28"/>
              </w:rPr>
            </w:pPr>
            <w:r w:rsidRPr="0063727B">
              <w:rPr>
                <w:rFonts w:ascii="微软雅黑" w:eastAsia="微软雅黑" w:hAnsi="微软雅黑" w:hint="eastAsia"/>
                <w:sz w:val="20"/>
                <w:szCs w:val="28"/>
              </w:rPr>
              <w:t>先期投入</w:t>
            </w:r>
          </w:p>
          <w:p w:rsidR="00133533" w:rsidRPr="0063727B" w:rsidRDefault="00133533" w:rsidP="00B112E6">
            <w:pPr>
              <w:jc w:val="center"/>
              <w:rPr>
                <w:rFonts w:ascii="微软雅黑" w:eastAsia="微软雅黑" w:hAnsi="微软雅黑"/>
                <w:sz w:val="20"/>
                <w:szCs w:val="28"/>
              </w:rPr>
            </w:pPr>
            <w:r w:rsidRPr="0063727B">
              <w:rPr>
                <w:rFonts w:ascii="微软雅黑" w:eastAsia="微软雅黑" w:hAnsi="微软雅黑" w:hint="eastAsia"/>
                <w:sz w:val="20"/>
                <w:szCs w:val="28"/>
              </w:rPr>
              <w:t>（万元）</w:t>
            </w:r>
          </w:p>
        </w:tc>
        <w:tc>
          <w:tcPr>
            <w:tcW w:w="0" w:type="auto"/>
            <w:vMerge w:val="restart"/>
            <w:shd w:val="clear" w:color="auto" w:fill="auto"/>
            <w:vAlign w:val="center"/>
          </w:tcPr>
          <w:p w:rsidR="00133533" w:rsidRPr="0063727B" w:rsidRDefault="00133533" w:rsidP="00B112E6">
            <w:pPr>
              <w:jc w:val="center"/>
              <w:rPr>
                <w:rFonts w:ascii="微软雅黑" w:eastAsia="微软雅黑" w:hAnsi="微软雅黑"/>
                <w:sz w:val="20"/>
                <w:szCs w:val="28"/>
              </w:rPr>
            </w:pPr>
            <w:r w:rsidRPr="0063727B">
              <w:rPr>
                <w:rFonts w:ascii="微软雅黑" w:eastAsia="微软雅黑" w:hAnsi="微软雅黑" w:hint="eastAsia"/>
                <w:sz w:val="20"/>
                <w:szCs w:val="28"/>
              </w:rPr>
              <w:t>可行性</w:t>
            </w:r>
          </w:p>
        </w:tc>
      </w:tr>
      <w:tr w:rsidR="00133533" w:rsidRPr="005D2234" w:rsidTr="00133533">
        <w:trPr>
          <w:trHeight w:val="233"/>
        </w:trPr>
        <w:tc>
          <w:tcPr>
            <w:tcW w:w="0" w:type="auto"/>
            <w:vMerge/>
            <w:shd w:val="clear" w:color="auto" w:fill="auto"/>
          </w:tcPr>
          <w:p w:rsidR="00133533" w:rsidRPr="005D2234" w:rsidRDefault="00133533" w:rsidP="00B112E6">
            <w:pPr>
              <w:rPr>
                <w:szCs w:val="28"/>
              </w:rPr>
            </w:pPr>
          </w:p>
        </w:tc>
        <w:tc>
          <w:tcPr>
            <w:tcW w:w="0" w:type="auto"/>
            <w:vMerge/>
            <w:shd w:val="clear" w:color="auto" w:fill="auto"/>
          </w:tcPr>
          <w:p w:rsidR="00133533" w:rsidRPr="005D2234" w:rsidRDefault="00133533" w:rsidP="00B112E6">
            <w:pPr>
              <w:rPr>
                <w:szCs w:val="28"/>
              </w:rPr>
            </w:pPr>
          </w:p>
        </w:tc>
        <w:tc>
          <w:tcPr>
            <w:tcW w:w="0" w:type="auto"/>
            <w:shd w:val="clear" w:color="auto" w:fill="auto"/>
            <w:vAlign w:val="center"/>
          </w:tcPr>
          <w:p w:rsidR="00133533" w:rsidRPr="0063727B" w:rsidRDefault="00133533" w:rsidP="00B112E6">
            <w:pPr>
              <w:jc w:val="center"/>
              <w:rPr>
                <w:sz w:val="22"/>
              </w:rPr>
            </w:pPr>
            <w:r w:rsidRPr="0063727B">
              <w:rPr>
                <w:rFonts w:hint="eastAsia"/>
                <w:sz w:val="22"/>
              </w:rPr>
              <w:t>对方</w:t>
            </w:r>
          </w:p>
        </w:tc>
        <w:tc>
          <w:tcPr>
            <w:tcW w:w="0" w:type="auto"/>
            <w:shd w:val="clear" w:color="auto" w:fill="auto"/>
            <w:vAlign w:val="center"/>
          </w:tcPr>
          <w:p w:rsidR="00133533" w:rsidRPr="0063727B" w:rsidRDefault="00133533" w:rsidP="00B112E6">
            <w:pPr>
              <w:jc w:val="center"/>
              <w:rPr>
                <w:sz w:val="22"/>
              </w:rPr>
            </w:pPr>
            <w:r w:rsidRPr="0063727B">
              <w:rPr>
                <w:rFonts w:hint="eastAsia"/>
                <w:sz w:val="22"/>
              </w:rPr>
              <w:t>宁波</w:t>
            </w:r>
          </w:p>
        </w:tc>
        <w:tc>
          <w:tcPr>
            <w:tcW w:w="0" w:type="auto"/>
            <w:vMerge/>
            <w:shd w:val="clear" w:color="auto" w:fill="auto"/>
          </w:tcPr>
          <w:p w:rsidR="00133533" w:rsidRPr="005D2234" w:rsidRDefault="00133533" w:rsidP="00B112E6">
            <w:pPr>
              <w:rPr>
                <w:szCs w:val="28"/>
              </w:rPr>
            </w:pPr>
          </w:p>
        </w:tc>
        <w:tc>
          <w:tcPr>
            <w:tcW w:w="0" w:type="auto"/>
            <w:shd w:val="clear" w:color="auto" w:fill="auto"/>
            <w:vAlign w:val="center"/>
          </w:tcPr>
          <w:p w:rsidR="00133533" w:rsidRPr="0063727B" w:rsidRDefault="00133533" w:rsidP="00B112E6">
            <w:pPr>
              <w:jc w:val="center"/>
              <w:rPr>
                <w:sz w:val="22"/>
                <w:szCs w:val="28"/>
              </w:rPr>
            </w:pPr>
            <w:r w:rsidRPr="0063727B">
              <w:rPr>
                <w:rFonts w:hint="eastAsia"/>
                <w:sz w:val="22"/>
                <w:szCs w:val="28"/>
              </w:rPr>
              <w:t>软件研发</w:t>
            </w:r>
          </w:p>
        </w:tc>
        <w:tc>
          <w:tcPr>
            <w:tcW w:w="0" w:type="auto"/>
            <w:shd w:val="clear" w:color="auto" w:fill="auto"/>
            <w:vAlign w:val="center"/>
          </w:tcPr>
          <w:p w:rsidR="00133533" w:rsidRPr="0063727B" w:rsidRDefault="00133533" w:rsidP="00B112E6">
            <w:pPr>
              <w:jc w:val="center"/>
              <w:rPr>
                <w:sz w:val="22"/>
                <w:szCs w:val="28"/>
              </w:rPr>
            </w:pPr>
            <w:r w:rsidRPr="0063727B">
              <w:rPr>
                <w:rFonts w:hint="eastAsia"/>
                <w:sz w:val="22"/>
                <w:szCs w:val="28"/>
              </w:rPr>
              <w:t>系统运维</w:t>
            </w:r>
          </w:p>
        </w:tc>
        <w:tc>
          <w:tcPr>
            <w:tcW w:w="0" w:type="auto"/>
            <w:shd w:val="clear" w:color="auto" w:fill="auto"/>
            <w:vAlign w:val="center"/>
          </w:tcPr>
          <w:p w:rsidR="00133533" w:rsidRPr="0063727B" w:rsidRDefault="00133533" w:rsidP="00B112E6">
            <w:pPr>
              <w:jc w:val="center"/>
              <w:rPr>
                <w:sz w:val="22"/>
                <w:szCs w:val="28"/>
              </w:rPr>
            </w:pPr>
            <w:r w:rsidRPr="0063727B">
              <w:rPr>
                <w:rFonts w:hint="eastAsia"/>
                <w:sz w:val="22"/>
                <w:szCs w:val="28"/>
              </w:rPr>
              <w:t>业务</w:t>
            </w:r>
          </w:p>
        </w:tc>
        <w:tc>
          <w:tcPr>
            <w:tcW w:w="0" w:type="auto"/>
            <w:vMerge/>
            <w:shd w:val="clear" w:color="auto" w:fill="auto"/>
          </w:tcPr>
          <w:p w:rsidR="00133533" w:rsidRPr="005D2234" w:rsidRDefault="00133533" w:rsidP="00B112E6">
            <w:pPr>
              <w:rPr>
                <w:szCs w:val="28"/>
              </w:rPr>
            </w:pPr>
          </w:p>
        </w:tc>
        <w:tc>
          <w:tcPr>
            <w:tcW w:w="0" w:type="auto"/>
            <w:vMerge/>
            <w:shd w:val="clear" w:color="auto" w:fill="auto"/>
          </w:tcPr>
          <w:p w:rsidR="00133533" w:rsidRPr="005D2234" w:rsidRDefault="00133533" w:rsidP="00B112E6">
            <w:pPr>
              <w:rPr>
                <w:szCs w:val="28"/>
              </w:rPr>
            </w:pPr>
          </w:p>
        </w:tc>
        <w:tc>
          <w:tcPr>
            <w:tcW w:w="0" w:type="auto"/>
            <w:vMerge/>
            <w:shd w:val="clear" w:color="auto" w:fill="auto"/>
          </w:tcPr>
          <w:p w:rsidR="00133533" w:rsidRPr="005D2234" w:rsidRDefault="00133533" w:rsidP="00B112E6">
            <w:pPr>
              <w:rPr>
                <w:szCs w:val="28"/>
              </w:rPr>
            </w:pPr>
          </w:p>
        </w:tc>
        <w:tc>
          <w:tcPr>
            <w:tcW w:w="0" w:type="auto"/>
            <w:vMerge/>
            <w:shd w:val="clear" w:color="auto" w:fill="auto"/>
          </w:tcPr>
          <w:p w:rsidR="00133533" w:rsidRPr="005D2234" w:rsidRDefault="00133533" w:rsidP="00B112E6">
            <w:pPr>
              <w:rPr>
                <w:szCs w:val="28"/>
              </w:rPr>
            </w:pPr>
          </w:p>
        </w:tc>
        <w:tc>
          <w:tcPr>
            <w:tcW w:w="0" w:type="auto"/>
            <w:vMerge/>
            <w:shd w:val="clear" w:color="auto" w:fill="auto"/>
          </w:tcPr>
          <w:p w:rsidR="00133533" w:rsidRPr="005D2234" w:rsidRDefault="00133533" w:rsidP="00B112E6">
            <w:pPr>
              <w:rPr>
                <w:szCs w:val="28"/>
              </w:rPr>
            </w:pPr>
          </w:p>
        </w:tc>
      </w:tr>
      <w:tr w:rsidR="00133533" w:rsidRPr="005D2234" w:rsidTr="00133533">
        <w:tc>
          <w:tcPr>
            <w:tcW w:w="0" w:type="auto"/>
            <w:shd w:val="clear" w:color="auto" w:fill="auto"/>
            <w:vAlign w:val="center"/>
          </w:tcPr>
          <w:p w:rsidR="00133533" w:rsidRPr="005D2234" w:rsidRDefault="00133533" w:rsidP="00B112E6">
            <w:pPr>
              <w:jc w:val="center"/>
              <w:rPr>
                <w:rFonts w:ascii="华文宋体" w:eastAsia="华文宋体" w:hAnsi="华文宋体"/>
                <w:sz w:val="20"/>
                <w:szCs w:val="18"/>
              </w:rPr>
            </w:pPr>
            <w:r w:rsidRPr="005D2234">
              <w:rPr>
                <w:rFonts w:ascii="华文宋体" w:eastAsia="华文宋体" w:hAnsi="华文宋体" w:hint="eastAsia"/>
                <w:sz w:val="20"/>
                <w:szCs w:val="18"/>
              </w:rPr>
              <w:t>中情所</w:t>
            </w:r>
          </w:p>
        </w:tc>
        <w:tc>
          <w:tcPr>
            <w:tcW w:w="0" w:type="auto"/>
            <w:shd w:val="clear" w:color="auto" w:fill="auto"/>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本地化移植</w:t>
            </w:r>
          </w:p>
        </w:tc>
        <w:tc>
          <w:tcPr>
            <w:tcW w:w="0" w:type="auto"/>
            <w:shd w:val="clear" w:color="auto" w:fill="auto"/>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系统所有者，需要本地移植二次开发和部署</w:t>
            </w:r>
          </w:p>
        </w:tc>
        <w:tc>
          <w:tcPr>
            <w:tcW w:w="0" w:type="auto"/>
            <w:shd w:val="clear" w:color="auto" w:fill="auto"/>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需要本地移植二次开发和部署</w:t>
            </w:r>
          </w:p>
        </w:tc>
        <w:tc>
          <w:tcPr>
            <w:tcW w:w="0" w:type="auto"/>
            <w:shd w:val="clear" w:color="auto" w:fill="auto"/>
          </w:tcPr>
          <w:p w:rsidR="00133533" w:rsidRPr="005D2234" w:rsidRDefault="00133533" w:rsidP="00B112E6">
            <w:pPr>
              <w:rPr>
                <w:rFonts w:ascii="华文宋体" w:eastAsia="华文宋体" w:hAnsi="华文宋体"/>
                <w:b/>
                <w:color w:val="FF0000"/>
                <w:sz w:val="20"/>
                <w:szCs w:val="18"/>
              </w:rPr>
            </w:pPr>
            <w:r w:rsidRPr="005D2234">
              <w:rPr>
                <w:rFonts w:ascii="华文宋体" w:eastAsia="华文宋体" w:hAnsi="华文宋体" w:hint="eastAsia"/>
                <w:sz w:val="20"/>
                <w:szCs w:val="18"/>
              </w:rPr>
              <w:t>部分可控</w:t>
            </w:r>
          </w:p>
        </w:tc>
        <w:tc>
          <w:tcPr>
            <w:tcW w:w="0" w:type="auto"/>
            <w:shd w:val="clear" w:color="auto" w:fill="auto"/>
          </w:tcPr>
          <w:p w:rsidR="00133533" w:rsidRPr="005D2234" w:rsidRDefault="00133533" w:rsidP="00B112E6">
            <w:pPr>
              <w:rPr>
                <w:rFonts w:ascii="华文宋体" w:eastAsia="华文宋体" w:hAnsi="华文宋体"/>
                <w:b/>
                <w:color w:val="FF0000"/>
                <w:sz w:val="20"/>
                <w:szCs w:val="18"/>
              </w:rPr>
            </w:pPr>
            <w:r w:rsidRPr="005D2234">
              <w:rPr>
                <w:rFonts w:ascii="华文宋体" w:eastAsia="华文宋体" w:hAnsi="华文宋体" w:hint="eastAsia"/>
                <w:b/>
                <w:color w:val="FF0000"/>
                <w:sz w:val="20"/>
                <w:szCs w:val="18"/>
              </w:rPr>
              <w:t>低</w:t>
            </w:r>
          </w:p>
          <w:p w:rsidR="00133533" w:rsidRPr="005D2234" w:rsidRDefault="00133533" w:rsidP="00B112E6">
            <w:pPr>
              <w:rPr>
                <w:rFonts w:ascii="华文宋体" w:eastAsia="华文宋体" w:hAnsi="华文宋体"/>
                <w:color w:val="FF0000"/>
                <w:sz w:val="20"/>
                <w:szCs w:val="18"/>
              </w:rPr>
            </w:pPr>
            <w:r w:rsidRPr="005D2234">
              <w:rPr>
                <w:rFonts w:ascii="华文宋体" w:eastAsia="华文宋体" w:hAnsi="华文宋体" w:hint="eastAsia"/>
                <w:sz w:val="18"/>
                <w:szCs w:val="18"/>
              </w:rPr>
              <w:t>（配合二次研发）</w:t>
            </w:r>
          </w:p>
        </w:tc>
        <w:tc>
          <w:tcPr>
            <w:tcW w:w="0" w:type="auto"/>
            <w:shd w:val="clear" w:color="auto" w:fill="auto"/>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高</w:t>
            </w:r>
          </w:p>
        </w:tc>
        <w:tc>
          <w:tcPr>
            <w:tcW w:w="0" w:type="auto"/>
            <w:shd w:val="clear" w:color="auto" w:fill="auto"/>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高</w:t>
            </w:r>
          </w:p>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18"/>
                <w:szCs w:val="18"/>
              </w:rPr>
              <w:t>（全流程）</w:t>
            </w:r>
          </w:p>
        </w:tc>
        <w:tc>
          <w:tcPr>
            <w:tcW w:w="0" w:type="auto"/>
            <w:shd w:val="clear" w:color="auto" w:fill="auto"/>
          </w:tcPr>
          <w:p w:rsidR="00133533" w:rsidRPr="005D2234" w:rsidRDefault="00133533" w:rsidP="00B112E6">
            <w:pPr>
              <w:jc w:val="center"/>
              <w:rPr>
                <w:rFonts w:ascii="华文宋体" w:eastAsia="华文宋体" w:hAnsi="华文宋体"/>
                <w:sz w:val="20"/>
                <w:szCs w:val="18"/>
              </w:rPr>
            </w:pPr>
            <w:r w:rsidRPr="005D2234">
              <w:rPr>
                <w:rFonts w:ascii="华文宋体" w:eastAsia="华文宋体" w:hAnsi="华文宋体" w:hint="eastAsia"/>
                <w:sz w:val="20"/>
                <w:szCs w:val="18"/>
              </w:rPr>
              <w:t>高</w:t>
            </w:r>
          </w:p>
        </w:tc>
        <w:tc>
          <w:tcPr>
            <w:tcW w:w="0" w:type="auto"/>
            <w:shd w:val="clear" w:color="auto" w:fill="auto"/>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低</w:t>
            </w:r>
            <w:r w:rsidRPr="005D2234">
              <w:rPr>
                <w:rFonts w:ascii="华文宋体" w:eastAsia="华文宋体" w:hAnsi="华文宋体" w:hint="eastAsia"/>
                <w:sz w:val="18"/>
                <w:szCs w:val="18"/>
              </w:rPr>
              <w:t>（每次扩展均需合作方介入）</w:t>
            </w:r>
          </w:p>
        </w:tc>
        <w:tc>
          <w:tcPr>
            <w:tcW w:w="0" w:type="auto"/>
            <w:shd w:val="clear" w:color="auto" w:fill="auto"/>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较高（系统移植费用不确定）</w:t>
            </w:r>
          </w:p>
        </w:tc>
        <w:tc>
          <w:tcPr>
            <w:tcW w:w="0" w:type="auto"/>
            <w:shd w:val="clear" w:color="auto" w:fill="auto"/>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未知</w:t>
            </w:r>
          </w:p>
        </w:tc>
        <w:tc>
          <w:tcPr>
            <w:tcW w:w="0" w:type="auto"/>
            <w:shd w:val="clear" w:color="auto" w:fill="auto"/>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可较快投入使用。但中情所目前只对部分省级部门进行了试点部署，市级部门需要另行洽谈。</w:t>
            </w:r>
          </w:p>
        </w:tc>
      </w:tr>
      <w:tr w:rsidR="00133533" w:rsidRPr="005D2234" w:rsidTr="00133533">
        <w:tc>
          <w:tcPr>
            <w:tcW w:w="0" w:type="auto"/>
            <w:shd w:val="clear" w:color="auto" w:fill="auto"/>
            <w:vAlign w:val="center"/>
          </w:tcPr>
          <w:p w:rsidR="00133533" w:rsidRPr="005D2234" w:rsidRDefault="00133533" w:rsidP="00B112E6">
            <w:pPr>
              <w:jc w:val="center"/>
              <w:rPr>
                <w:rFonts w:ascii="华文宋体" w:eastAsia="华文宋体" w:hAnsi="华文宋体"/>
                <w:sz w:val="20"/>
                <w:szCs w:val="18"/>
              </w:rPr>
            </w:pPr>
            <w:r w:rsidRPr="005D2234">
              <w:rPr>
                <w:rFonts w:ascii="华文宋体" w:eastAsia="华文宋体" w:hAnsi="华文宋体" w:hint="eastAsia"/>
                <w:sz w:val="20"/>
                <w:szCs w:val="18"/>
              </w:rPr>
              <w:t>无</w:t>
            </w:r>
          </w:p>
        </w:tc>
        <w:tc>
          <w:tcPr>
            <w:tcW w:w="0" w:type="auto"/>
            <w:shd w:val="clear" w:color="auto" w:fill="auto"/>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独立研发</w:t>
            </w:r>
          </w:p>
        </w:tc>
        <w:tc>
          <w:tcPr>
            <w:tcW w:w="0" w:type="auto"/>
            <w:shd w:val="clear" w:color="auto" w:fill="auto"/>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无</w:t>
            </w:r>
          </w:p>
        </w:tc>
        <w:tc>
          <w:tcPr>
            <w:tcW w:w="0" w:type="auto"/>
            <w:shd w:val="clear" w:color="auto" w:fill="auto"/>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系统研发、承建者</w:t>
            </w:r>
          </w:p>
        </w:tc>
        <w:tc>
          <w:tcPr>
            <w:tcW w:w="0" w:type="auto"/>
            <w:shd w:val="clear" w:color="auto" w:fill="auto"/>
          </w:tcPr>
          <w:p w:rsidR="00133533" w:rsidRPr="005D2234" w:rsidRDefault="00133533" w:rsidP="00B112E6">
            <w:pPr>
              <w:rPr>
                <w:rFonts w:ascii="华文宋体" w:eastAsia="华文宋体" w:hAnsi="华文宋体"/>
                <w:b/>
                <w:color w:val="FF0000"/>
                <w:sz w:val="20"/>
                <w:szCs w:val="18"/>
              </w:rPr>
            </w:pPr>
            <w:r w:rsidRPr="005D2234">
              <w:rPr>
                <w:rFonts w:ascii="华文宋体" w:eastAsia="华文宋体" w:hAnsi="华文宋体" w:hint="eastAsia"/>
                <w:b/>
                <w:color w:val="FF0000"/>
                <w:sz w:val="20"/>
                <w:szCs w:val="18"/>
              </w:rPr>
              <w:t>完全掌握</w:t>
            </w:r>
          </w:p>
        </w:tc>
        <w:tc>
          <w:tcPr>
            <w:tcW w:w="0" w:type="auto"/>
            <w:shd w:val="clear" w:color="auto" w:fill="auto"/>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高</w:t>
            </w:r>
          </w:p>
        </w:tc>
        <w:tc>
          <w:tcPr>
            <w:tcW w:w="0" w:type="auto"/>
            <w:shd w:val="clear" w:color="auto" w:fill="auto"/>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高</w:t>
            </w:r>
          </w:p>
        </w:tc>
        <w:tc>
          <w:tcPr>
            <w:tcW w:w="0" w:type="auto"/>
            <w:shd w:val="clear" w:color="auto" w:fill="auto"/>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高</w:t>
            </w:r>
          </w:p>
        </w:tc>
        <w:tc>
          <w:tcPr>
            <w:tcW w:w="0" w:type="auto"/>
            <w:shd w:val="clear" w:color="auto" w:fill="auto"/>
          </w:tcPr>
          <w:p w:rsidR="00133533" w:rsidRPr="005D2234" w:rsidRDefault="00133533" w:rsidP="00B112E6">
            <w:pPr>
              <w:jc w:val="center"/>
              <w:rPr>
                <w:rFonts w:ascii="华文宋体" w:eastAsia="华文宋体" w:hAnsi="华文宋体"/>
                <w:sz w:val="20"/>
                <w:szCs w:val="18"/>
              </w:rPr>
            </w:pPr>
            <w:r w:rsidRPr="005D2234">
              <w:rPr>
                <w:rFonts w:ascii="华文宋体" w:eastAsia="华文宋体" w:hAnsi="华文宋体" w:hint="eastAsia"/>
                <w:sz w:val="20"/>
                <w:szCs w:val="18"/>
              </w:rPr>
              <w:t>高</w:t>
            </w:r>
          </w:p>
        </w:tc>
        <w:tc>
          <w:tcPr>
            <w:tcW w:w="0" w:type="auto"/>
            <w:shd w:val="clear" w:color="auto" w:fill="auto"/>
          </w:tcPr>
          <w:p w:rsidR="00133533" w:rsidRPr="005D2234" w:rsidRDefault="00133533" w:rsidP="00B112E6">
            <w:pPr>
              <w:rPr>
                <w:rFonts w:ascii="华文宋体" w:eastAsia="华文宋体" w:hAnsi="华文宋体"/>
                <w:b/>
                <w:color w:val="FF0000"/>
                <w:sz w:val="20"/>
                <w:szCs w:val="18"/>
              </w:rPr>
            </w:pPr>
            <w:r w:rsidRPr="005D2234">
              <w:rPr>
                <w:rFonts w:ascii="华文宋体" w:eastAsia="华文宋体" w:hAnsi="华文宋体" w:hint="eastAsia"/>
                <w:b/>
                <w:color w:val="FF0000"/>
                <w:sz w:val="20"/>
                <w:szCs w:val="18"/>
              </w:rPr>
              <w:t>高（可完全与市级系统集成）</w:t>
            </w:r>
          </w:p>
        </w:tc>
        <w:tc>
          <w:tcPr>
            <w:tcW w:w="0" w:type="auto"/>
            <w:shd w:val="clear" w:color="auto" w:fill="auto"/>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高</w:t>
            </w:r>
          </w:p>
        </w:tc>
        <w:tc>
          <w:tcPr>
            <w:tcW w:w="0" w:type="auto"/>
            <w:shd w:val="clear" w:color="auto" w:fill="auto"/>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未知</w:t>
            </w:r>
          </w:p>
        </w:tc>
        <w:tc>
          <w:tcPr>
            <w:tcW w:w="0" w:type="auto"/>
            <w:shd w:val="clear" w:color="auto" w:fill="auto"/>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需要大量的前期调研和研发投入，投入使用期限较长。</w:t>
            </w:r>
          </w:p>
        </w:tc>
      </w:tr>
      <w:tr w:rsidR="00133533" w:rsidRPr="005D2234" w:rsidTr="00133533">
        <w:tc>
          <w:tcPr>
            <w:tcW w:w="0" w:type="auto"/>
            <w:vMerge w:val="restart"/>
            <w:shd w:val="clear" w:color="auto" w:fill="auto"/>
            <w:vAlign w:val="center"/>
          </w:tcPr>
          <w:p w:rsidR="00133533" w:rsidRPr="005D2234" w:rsidRDefault="00133533" w:rsidP="00B112E6">
            <w:pPr>
              <w:jc w:val="center"/>
              <w:rPr>
                <w:rFonts w:ascii="华文宋体" w:eastAsia="华文宋体" w:hAnsi="华文宋体"/>
                <w:sz w:val="20"/>
                <w:szCs w:val="18"/>
              </w:rPr>
            </w:pPr>
            <w:r w:rsidRPr="005D2234">
              <w:rPr>
                <w:rFonts w:ascii="华文宋体" w:eastAsia="华文宋体" w:hAnsi="华文宋体" w:hint="eastAsia"/>
                <w:sz w:val="20"/>
                <w:szCs w:val="18"/>
              </w:rPr>
              <w:t>省信息院</w:t>
            </w:r>
          </w:p>
        </w:tc>
        <w:tc>
          <w:tcPr>
            <w:tcW w:w="0" w:type="auto"/>
            <w:shd w:val="clear" w:color="auto" w:fill="auto"/>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全面托管</w:t>
            </w:r>
          </w:p>
        </w:tc>
        <w:tc>
          <w:tcPr>
            <w:tcW w:w="0" w:type="auto"/>
            <w:shd w:val="clear" w:color="auto" w:fill="auto"/>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系统所有者</w:t>
            </w:r>
          </w:p>
        </w:tc>
        <w:tc>
          <w:tcPr>
            <w:tcW w:w="0" w:type="auto"/>
            <w:shd w:val="clear" w:color="auto" w:fill="auto"/>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系统使用者</w:t>
            </w:r>
          </w:p>
        </w:tc>
        <w:tc>
          <w:tcPr>
            <w:tcW w:w="0" w:type="auto"/>
            <w:shd w:val="clear" w:color="auto" w:fill="auto"/>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不可控，元数据可控性未知</w:t>
            </w:r>
          </w:p>
        </w:tc>
        <w:tc>
          <w:tcPr>
            <w:tcW w:w="0" w:type="auto"/>
            <w:shd w:val="clear" w:color="auto" w:fill="auto"/>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很低</w:t>
            </w:r>
          </w:p>
        </w:tc>
        <w:tc>
          <w:tcPr>
            <w:tcW w:w="0" w:type="auto"/>
            <w:shd w:val="clear" w:color="auto" w:fill="auto"/>
          </w:tcPr>
          <w:p w:rsidR="00133533" w:rsidRPr="005D2234" w:rsidRDefault="00133533" w:rsidP="00B112E6">
            <w:pPr>
              <w:rPr>
                <w:rFonts w:ascii="华文宋体" w:eastAsia="华文宋体" w:hAnsi="华文宋体"/>
                <w:b/>
                <w:color w:val="FF0000"/>
                <w:sz w:val="20"/>
                <w:szCs w:val="18"/>
              </w:rPr>
            </w:pPr>
            <w:r w:rsidRPr="005D2234">
              <w:rPr>
                <w:rFonts w:ascii="华文宋体" w:eastAsia="华文宋体" w:hAnsi="华文宋体" w:hint="eastAsia"/>
                <w:b/>
                <w:color w:val="FF0000"/>
                <w:sz w:val="20"/>
                <w:szCs w:val="18"/>
              </w:rPr>
              <w:t>低</w:t>
            </w:r>
          </w:p>
        </w:tc>
        <w:tc>
          <w:tcPr>
            <w:tcW w:w="0" w:type="auto"/>
            <w:shd w:val="clear" w:color="auto" w:fill="auto"/>
          </w:tcPr>
          <w:p w:rsidR="00133533" w:rsidRPr="005D2234" w:rsidRDefault="00133533" w:rsidP="00B112E6">
            <w:pPr>
              <w:rPr>
                <w:rFonts w:ascii="华文宋体" w:eastAsia="华文宋体" w:hAnsi="华文宋体"/>
                <w:b/>
                <w:color w:val="FF0000"/>
                <w:sz w:val="20"/>
                <w:szCs w:val="18"/>
              </w:rPr>
            </w:pPr>
            <w:r w:rsidRPr="005D2234">
              <w:rPr>
                <w:rFonts w:ascii="华文宋体" w:eastAsia="华文宋体" w:hAnsi="华文宋体" w:hint="eastAsia"/>
                <w:b/>
                <w:color w:val="FF0000"/>
                <w:sz w:val="20"/>
                <w:szCs w:val="18"/>
              </w:rPr>
              <w:t>中</w:t>
            </w:r>
          </w:p>
          <w:p w:rsidR="00133533" w:rsidRPr="005D2234" w:rsidRDefault="00133533" w:rsidP="00B112E6">
            <w:pPr>
              <w:rPr>
                <w:rFonts w:ascii="华文宋体" w:eastAsia="华文宋体" w:hAnsi="华文宋体"/>
                <w:color w:val="FF0000"/>
                <w:sz w:val="20"/>
                <w:szCs w:val="18"/>
              </w:rPr>
            </w:pPr>
            <w:r w:rsidRPr="005D2234">
              <w:rPr>
                <w:rFonts w:ascii="华文宋体" w:eastAsia="华文宋体" w:hAnsi="华文宋体" w:hint="eastAsia"/>
                <w:sz w:val="18"/>
                <w:szCs w:val="18"/>
              </w:rPr>
              <w:t>（只需初审）</w:t>
            </w:r>
          </w:p>
        </w:tc>
        <w:tc>
          <w:tcPr>
            <w:tcW w:w="0" w:type="auto"/>
            <w:shd w:val="clear" w:color="auto" w:fill="auto"/>
          </w:tcPr>
          <w:p w:rsidR="00133533" w:rsidRPr="005D2234" w:rsidRDefault="00133533" w:rsidP="00B112E6">
            <w:pPr>
              <w:jc w:val="center"/>
              <w:rPr>
                <w:rFonts w:ascii="华文宋体" w:eastAsia="华文宋体" w:hAnsi="华文宋体"/>
                <w:b/>
                <w:color w:val="FF0000"/>
                <w:sz w:val="20"/>
                <w:szCs w:val="18"/>
              </w:rPr>
            </w:pPr>
            <w:r w:rsidRPr="005D2234">
              <w:rPr>
                <w:rFonts w:ascii="华文宋体" w:eastAsia="华文宋体" w:hAnsi="华文宋体" w:hint="eastAsia"/>
                <w:b/>
                <w:color w:val="FF0000"/>
                <w:sz w:val="20"/>
                <w:szCs w:val="18"/>
              </w:rPr>
              <w:t>无</w:t>
            </w:r>
          </w:p>
        </w:tc>
        <w:tc>
          <w:tcPr>
            <w:tcW w:w="0" w:type="auto"/>
            <w:shd w:val="clear" w:color="auto" w:fill="auto"/>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无</w:t>
            </w:r>
          </w:p>
        </w:tc>
        <w:tc>
          <w:tcPr>
            <w:tcW w:w="0" w:type="auto"/>
            <w:shd w:val="clear" w:color="auto" w:fill="auto"/>
          </w:tcPr>
          <w:p w:rsidR="00133533" w:rsidRPr="005D2234" w:rsidRDefault="00133533" w:rsidP="00B112E6">
            <w:pPr>
              <w:rPr>
                <w:rFonts w:ascii="华文宋体" w:eastAsia="华文宋体" w:hAnsi="华文宋体"/>
                <w:b/>
                <w:color w:val="FF0000"/>
                <w:sz w:val="20"/>
                <w:szCs w:val="18"/>
              </w:rPr>
            </w:pPr>
            <w:r w:rsidRPr="005D2234">
              <w:rPr>
                <w:rFonts w:ascii="华文宋体" w:eastAsia="华文宋体" w:hAnsi="华文宋体" w:hint="eastAsia"/>
                <w:b/>
                <w:color w:val="FF0000"/>
                <w:sz w:val="20"/>
                <w:szCs w:val="18"/>
              </w:rPr>
              <w:t>较低</w:t>
            </w:r>
          </w:p>
        </w:tc>
        <w:tc>
          <w:tcPr>
            <w:tcW w:w="0" w:type="auto"/>
            <w:shd w:val="clear" w:color="auto" w:fill="auto"/>
          </w:tcPr>
          <w:p w:rsidR="00133533" w:rsidRPr="005D2234" w:rsidRDefault="00133533" w:rsidP="00B112E6">
            <w:pPr>
              <w:rPr>
                <w:rFonts w:ascii="华文宋体" w:eastAsia="华文宋体" w:hAnsi="华文宋体"/>
                <w:b/>
                <w:color w:val="FF0000"/>
                <w:sz w:val="20"/>
                <w:szCs w:val="18"/>
              </w:rPr>
            </w:pPr>
            <w:r w:rsidRPr="005D2234">
              <w:rPr>
                <w:rFonts w:ascii="华文宋体" w:eastAsia="华文宋体" w:hAnsi="华文宋体" w:hint="eastAsia"/>
                <w:b/>
                <w:color w:val="FF0000"/>
                <w:sz w:val="20"/>
                <w:szCs w:val="18"/>
              </w:rPr>
              <w:t>年服务费10万元</w:t>
            </w:r>
          </w:p>
        </w:tc>
        <w:tc>
          <w:tcPr>
            <w:tcW w:w="0" w:type="auto"/>
            <w:shd w:val="clear" w:color="auto" w:fill="auto"/>
          </w:tcPr>
          <w:p w:rsidR="00133533" w:rsidRPr="005D2234" w:rsidRDefault="00133533" w:rsidP="00B112E6">
            <w:pPr>
              <w:rPr>
                <w:rFonts w:ascii="华文宋体" w:eastAsia="华文宋体" w:hAnsi="华文宋体"/>
                <w:b/>
                <w:color w:val="FF0000"/>
                <w:sz w:val="20"/>
                <w:szCs w:val="18"/>
              </w:rPr>
            </w:pPr>
            <w:r w:rsidRPr="005D2234">
              <w:rPr>
                <w:rFonts w:ascii="华文宋体" w:eastAsia="华文宋体" w:hAnsi="华文宋体" w:hint="eastAsia"/>
                <w:b/>
                <w:color w:val="FF0000"/>
                <w:sz w:val="20"/>
                <w:szCs w:val="18"/>
              </w:rPr>
              <w:t>可最快投入使用</w:t>
            </w:r>
          </w:p>
        </w:tc>
      </w:tr>
      <w:tr w:rsidR="00133533" w:rsidRPr="005D2234" w:rsidTr="00133533">
        <w:tc>
          <w:tcPr>
            <w:tcW w:w="0" w:type="auto"/>
            <w:vMerge/>
            <w:shd w:val="clear" w:color="auto" w:fill="auto"/>
          </w:tcPr>
          <w:p w:rsidR="00133533" w:rsidRPr="005D2234" w:rsidRDefault="00133533" w:rsidP="00B112E6">
            <w:pPr>
              <w:rPr>
                <w:rFonts w:ascii="华文宋体" w:eastAsia="华文宋体" w:hAnsi="华文宋体"/>
                <w:sz w:val="20"/>
                <w:szCs w:val="18"/>
              </w:rPr>
            </w:pPr>
          </w:p>
        </w:tc>
        <w:tc>
          <w:tcPr>
            <w:tcW w:w="0" w:type="auto"/>
            <w:shd w:val="clear" w:color="auto" w:fill="FFFF00"/>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深度合作</w:t>
            </w:r>
          </w:p>
          <w:p w:rsidR="00133533" w:rsidRPr="005D2234" w:rsidRDefault="00133533" w:rsidP="00B112E6">
            <w:pPr>
              <w:rPr>
                <w:rFonts w:ascii="华文宋体" w:eastAsia="华文宋体" w:hAnsi="华文宋体"/>
                <w:b/>
                <w:sz w:val="20"/>
                <w:szCs w:val="18"/>
              </w:rPr>
            </w:pPr>
            <w:r w:rsidRPr="005D2234">
              <w:rPr>
                <w:rFonts w:ascii="华文宋体" w:eastAsia="华文宋体" w:hAnsi="华文宋体" w:hint="eastAsia"/>
                <w:b/>
                <w:color w:val="FF0000"/>
                <w:sz w:val="20"/>
                <w:szCs w:val="18"/>
              </w:rPr>
              <w:t>（推荐）</w:t>
            </w:r>
          </w:p>
        </w:tc>
        <w:tc>
          <w:tcPr>
            <w:tcW w:w="0" w:type="auto"/>
            <w:shd w:val="clear" w:color="auto" w:fill="FFFF00"/>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系统所有者</w:t>
            </w:r>
          </w:p>
        </w:tc>
        <w:tc>
          <w:tcPr>
            <w:tcW w:w="0" w:type="auto"/>
            <w:shd w:val="clear" w:color="auto" w:fill="FFFF00"/>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审核和共享系统使</w:t>
            </w:r>
            <w:r w:rsidRPr="005D2234">
              <w:rPr>
                <w:rFonts w:ascii="华文宋体" w:eastAsia="华文宋体" w:hAnsi="华文宋体" w:hint="eastAsia"/>
                <w:sz w:val="20"/>
                <w:szCs w:val="18"/>
              </w:rPr>
              <w:lastRenderedPageBreak/>
              <w:t>用省院；</w:t>
            </w:r>
          </w:p>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呈交系统独立研发或者与省院合作开发</w:t>
            </w:r>
          </w:p>
        </w:tc>
        <w:tc>
          <w:tcPr>
            <w:tcW w:w="0" w:type="auto"/>
            <w:shd w:val="clear" w:color="auto" w:fill="FFFF00"/>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lastRenderedPageBreak/>
              <w:t>部分可控，呈交数据完全掌</w:t>
            </w:r>
            <w:r w:rsidRPr="005D2234">
              <w:rPr>
                <w:rFonts w:ascii="华文宋体" w:eastAsia="华文宋体" w:hAnsi="华文宋体" w:hint="eastAsia"/>
                <w:sz w:val="20"/>
                <w:szCs w:val="18"/>
              </w:rPr>
              <w:lastRenderedPageBreak/>
              <w:t>握，元数据可获取性未知</w:t>
            </w:r>
          </w:p>
        </w:tc>
        <w:tc>
          <w:tcPr>
            <w:tcW w:w="0" w:type="auto"/>
            <w:shd w:val="clear" w:color="auto" w:fill="FFFF00"/>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lastRenderedPageBreak/>
              <w:t>高</w:t>
            </w:r>
          </w:p>
        </w:tc>
        <w:tc>
          <w:tcPr>
            <w:tcW w:w="0" w:type="auto"/>
            <w:shd w:val="clear" w:color="auto" w:fill="FFFF00"/>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较高</w:t>
            </w:r>
          </w:p>
        </w:tc>
        <w:tc>
          <w:tcPr>
            <w:tcW w:w="0" w:type="auto"/>
            <w:shd w:val="clear" w:color="auto" w:fill="FFFF00"/>
          </w:tcPr>
          <w:p w:rsidR="00133533" w:rsidRPr="005D2234" w:rsidRDefault="00133533" w:rsidP="00B112E6">
            <w:pPr>
              <w:rPr>
                <w:rFonts w:ascii="华文宋体" w:eastAsia="华文宋体" w:hAnsi="华文宋体"/>
                <w:b/>
                <w:color w:val="FF0000"/>
                <w:sz w:val="20"/>
                <w:szCs w:val="18"/>
              </w:rPr>
            </w:pPr>
            <w:r w:rsidRPr="005D2234">
              <w:rPr>
                <w:rFonts w:ascii="华文宋体" w:eastAsia="华文宋体" w:hAnsi="华文宋体" w:hint="eastAsia"/>
                <w:b/>
                <w:color w:val="FF0000"/>
                <w:sz w:val="20"/>
                <w:szCs w:val="18"/>
              </w:rPr>
              <w:t>中</w:t>
            </w:r>
          </w:p>
          <w:p w:rsidR="00133533" w:rsidRPr="005D2234" w:rsidRDefault="00133533" w:rsidP="00B112E6">
            <w:pPr>
              <w:rPr>
                <w:rFonts w:ascii="华文宋体" w:eastAsia="华文宋体" w:hAnsi="华文宋体"/>
                <w:color w:val="FF0000"/>
                <w:sz w:val="20"/>
                <w:szCs w:val="18"/>
              </w:rPr>
            </w:pPr>
            <w:r w:rsidRPr="005D2234">
              <w:rPr>
                <w:rFonts w:ascii="华文宋体" w:eastAsia="华文宋体" w:hAnsi="华文宋体" w:hint="eastAsia"/>
                <w:sz w:val="18"/>
                <w:szCs w:val="18"/>
              </w:rPr>
              <w:t>（只需初审）</w:t>
            </w:r>
          </w:p>
        </w:tc>
        <w:tc>
          <w:tcPr>
            <w:tcW w:w="0" w:type="auto"/>
            <w:shd w:val="clear" w:color="auto" w:fill="FFFF00"/>
          </w:tcPr>
          <w:p w:rsidR="00133533" w:rsidRPr="005D2234" w:rsidRDefault="00133533" w:rsidP="00B112E6">
            <w:pPr>
              <w:jc w:val="center"/>
              <w:rPr>
                <w:rFonts w:ascii="华文宋体" w:eastAsia="华文宋体" w:hAnsi="华文宋体"/>
                <w:sz w:val="20"/>
                <w:szCs w:val="18"/>
              </w:rPr>
            </w:pPr>
            <w:r w:rsidRPr="005D2234">
              <w:rPr>
                <w:rFonts w:ascii="华文宋体" w:eastAsia="华文宋体" w:hAnsi="华文宋体" w:hint="eastAsia"/>
                <w:sz w:val="20"/>
                <w:szCs w:val="18"/>
              </w:rPr>
              <w:t>中</w:t>
            </w:r>
          </w:p>
        </w:tc>
        <w:tc>
          <w:tcPr>
            <w:tcW w:w="0" w:type="auto"/>
            <w:shd w:val="clear" w:color="auto" w:fill="FFFF00"/>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较高</w:t>
            </w:r>
          </w:p>
        </w:tc>
        <w:tc>
          <w:tcPr>
            <w:tcW w:w="0" w:type="auto"/>
            <w:shd w:val="clear" w:color="auto" w:fill="FFFF00"/>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较高</w:t>
            </w:r>
          </w:p>
        </w:tc>
        <w:tc>
          <w:tcPr>
            <w:tcW w:w="0" w:type="auto"/>
            <w:shd w:val="clear" w:color="auto" w:fill="FFFF00"/>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t>研发费可能大于50</w:t>
            </w:r>
            <w:r w:rsidRPr="005D2234">
              <w:rPr>
                <w:rFonts w:ascii="华文宋体" w:eastAsia="华文宋体" w:hAnsi="华文宋体" w:hint="eastAsia"/>
                <w:sz w:val="20"/>
                <w:szCs w:val="18"/>
              </w:rPr>
              <w:lastRenderedPageBreak/>
              <w:t>万元；年服务费10万元。</w:t>
            </w:r>
          </w:p>
        </w:tc>
        <w:tc>
          <w:tcPr>
            <w:tcW w:w="0" w:type="auto"/>
            <w:shd w:val="clear" w:color="auto" w:fill="FFFF00"/>
          </w:tcPr>
          <w:p w:rsidR="00133533" w:rsidRPr="005D2234" w:rsidRDefault="00133533" w:rsidP="00B112E6">
            <w:pPr>
              <w:rPr>
                <w:rFonts w:ascii="华文宋体" w:eastAsia="华文宋体" w:hAnsi="华文宋体"/>
                <w:sz w:val="20"/>
                <w:szCs w:val="18"/>
              </w:rPr>
            </w:pPr>
            <w:r w:rsidRPr="005D2234">
              <w:rPr>
                <w:rFonts w:ascii="华文宋体" w:eastAsia="华文宋体" w:hAnsi="华文宋体" w:hint="eastAsia"/>
                <w:sz w:val="20"/>
                <w:szCs w:val="18"/>
              </w:rPr>
              <w:lastRenderedPageBreak/>
              <w:t>需要前期研发，具有一定的投</w:t>
            </w:r>
            <w:r w:rsidRPr="005D2234">
              <w:rPr>
                <w:rFonts w:ascii="华文宋体" w:eastAsia="华文宋体" w:hAnsi="华文宋体" w:hint="eastAsia"/>
                <w:sz w:val="20"/>
                <w:szCs w:val="18"/>
              </w:rPr>
              <w:lastRenderedPageBreak/>
              <w:t>入使用期限。</w:t>
            </w:r>
          </w:p>
        </w:tc>
        <w:bookmarkStart w:id="0" w:name="_GoBack"/>
        <w:bookmarkEnd w:id="0"/>
      </w:tr>
    </w:tbl>
    <w:p w:rsidR="00484D30" w:rsidRPr="00484D30" w:rsidRDefault="00484D30" w:rsidP="00CD4148">
      <w:pPr>
        <w:rPr>
          <w:rFonts w:ascii="微软雅黑" w:eastAsia="微软雅黑" w:hAnsi="微软雅黑"/>
          <w:sz w:val="22"/>
        </w:rPr>
      </w:pPr>
      <w:r w:rsidRPr="00484D30">
        <w:rPr>
          <w:rFonts w:ascii="微软雅黑" w:eastAsia="微软雅黑" w:hAnsi="微软雅黑" w:hint="eastAsia"/>
          <w:sz w:val="22"/>
        </w:rPr>
        <w:lastRenderedPageBreak/>
        <w:t>附件：</w:t>
      </w:r>
    </w:p>
    <w:p w:rsidR="00484D30" w:rsidRPr="00484D30" w:rsidRDefault="00484D30" w:rsidP="00484D30">
      <w:pPr>
        <w:rPr>
          <w:rFonts w:ascii="微软雅黑" w:eastAsia="微软雅黑" w:hAnsi="微软雅黑" w:hint="eastAsia"/>
          <w:sz w:val="22"/>
        </w:rPr>
      </w:pPr>
      <w:r w:rsidRPr="00484D30">
        <w:rPr>
          <w:rFonts w:ascii="微软雅黑" w:eastAsia="微软雅黑" w:hAnsi="微软雅黑" w:hint="eastAsia"/>
          <w:sz w:val="22"/>
        </w:rPr>
        <w:t>科技报告保密等级代码与标识 (GB/T 30534-2014)</w:t>
      </w:r>
    </w:p>
    <w:p w:rsidR="00484D30" w:rsidRPr="00484D30" w:rsidRDefault="00484D30" w:rsidP="00484D30">
      <w:pPr>
        <w:rPr>
          <w:rFonts w:ascii="微软雅黑" w:eastAsia="微软雅黑" w:hAnsi="微软雅黑" w:hint="eastAsia"/>
          <w:sz w:val="22"/>
        </w:rPr>
      </w:pPr>
      <w:r w:rsidRPr="00484D30">
        <w:rPr>
          <w:rFonts w:ascii="微软雅黑" w:eastAsia="微软雅黑" w:hAnsi="微软雅黑" w:hint="eastAsia"/>
          <w:sz w:val="22"/>
        </w:rPr>
        <w:t>科学技术报告编号规则 (GB/T 15416-2014)</w:t>
      </w:r>
    </w:p>
    <w:p w:rsidR="00484D30" w:rsidRPr="00484D30" w:rsidRDefault="00484D30" w:rsidP="00484D30">
      <w:pPr>
        <w:rPr>
          <w:rFonts w:ascii="微软雅黑" w:eastAsia="微软雅黑" w:hAnsi="微软雅黑" w:hint="eastAsia"/>
          <w:sz w:val="22"/>
        </w:rPr>
      </w:pPr>
      <w:r w:rsidRPr="00484D30">
        <w:rPr>
          <w:rFonts w:ascii="微软雅黑" w:eastAsia="微软雅黑" w:hAnsi="微软雅黑" w:hint="eastAsia"/>
          <w:sz w:val="22"/>
        </w:rPr>
        <w:t>科学技术报告编写规则 (GB/T 7713.3-2014)</w:t>
      </w:r>
    </w:p>
    <w:p w:rsidR="00484D30" w:rsidRPr="00484D30" w:rsidRDefault="00484D30" w:rsidP="00484D30">
      <w:pPr>
        <w:rPr>
          <w:rFonts w:ascii="微软雅黑" w:eastAsia="微软雅黑" w:hAnsi="微软雅黑" w:hint="eastAsia"/>
          <w:sz w:val="22"/>
        </w:rPr>
      </w:pPr>
      <w:r w:rsidRPr="00484D30">
        <w:rPr>
          <w:rFonts w:ascii="微软雅黑" w:eastAsia="微软雅黑" w:hAnsi="微软雅黑" w:hint="eastAsia"/>
          <w:sz w:val="22"/>
        </w:rPr>
        <w:t>科技报告元数据规范 (GB/T 30535-2014)</w:t>
      </w:r>
    </w:p>
    <w:sectPr w:rsidR="00484D30" w:rsidRPr="00484D30" w:rsidSect="00133533">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FD9" w:rsidRDefault="00FD2FD9" w:rsidP="00133533">
      <w:r>
        <w:separator/>
      </w:r>
    </w:p>
  </w:endnote>
  <w:endnote w:type="continuationSeparator" w:id="0">
    <w:p w:rsidR="00FD2FD9" w:rsidRDefault="00FD2FD9" w:rsidP="00133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533" w:rsidRDefault="00133533">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533" w:rsidRDefault="00133533">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533" w:rsidRDefault="0013353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FD9" w:rsidRDefault="00FD2FD9" w:rsidP="00133533">
      <w:r>
        <w:separator/>
      </w:r>
    </w:p>
  </w:footnote>
  <w:footnote w:type="continuationSeparator" w:id="0">
    <w:p w:rsidR="00FD2FD9" w:rsidRDefault="00FD2FD9" w:rsidP="001335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533" w:rsidRDefault="00133533" w:rsidP="00133533">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533" w:rsidRDefault="00133533" w:rsidP="00133533">
    <w:pPr>
      <w:pStyle w:val="a4"/>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3533" w:rsidRDefault="00133533">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9D27A4"/>
    <w:multiLevelType w:val="hybridMultilevel"/>
    <w:tmpl w:val="D66EEE5E"/>
    <w:lvl w:ilvl="0" w:tplc="4A66C0A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06B"/>
    <w:rsid w:val="00133533"/>
    <w:rsid w:val="0013402D"/>
    <w:rsid w:val="001A749C"/>
    <w:rsid w:val="001F57DF"/>
    <w:rsid w:val="0027399D"/>
    <w:rsid w:val="00327C2D"/>
    <w:rsid w:val="00484D30"/>
    <w:rsid w:val="0059706B"/>
    <w:rsid w:val="0073188A"/>
    <w:rsid w:val="00733EA1"/>
    <w:rsid w:val="007B3EC8"/>
    <w:rsid w:val="007F0AC1"/>
    <w:rsid w:val="008430A6"/>
    <w:rsid w:val="00856A76"/>
    <w:rsid w:val="00992943"/>
    <w:rsid w:val="009D6BA6"/>
    <w:rsid w:val="00AA0DC7"/>
    <w:rsid w:val="00C8177C"/>
    <w:rsid w:val="00CD4148"/>
    <w:rsid w:val="00D67C1E"/>
    <w:rsid w:val="00E63E20"/>
    <w:rsid w:val="00ED62EC"/>
    <w:rsid w:val="00FD2F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0001F0-A3F2-495C-8AF8-D9911BA3E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D62E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D6BA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D62EC"/>
    <w:rPr>
      <w:b/>
      <w:bCs/>
      <w:kern w:val="44"/>
      <w:sz w:val="44"/>
      <w:szCs w:val="44"/>
    </w:rPr>
  </w:style>
  <w:style w:type="character" w:customStyle="1" w:styleId="2Char">
    <w:name w:val="标题 2 Char"/>
    <w:basedOn w:val="a0"/>
    <w:link w:val="2"/>
    <w:uiPriority w:val="9"/>
    <w:rsid w:val="009D6BA6"/>
    <w:rPr>
      <w:rFonts w:asciiTheme="majorHAnsi" w:eastAsiaTheme="majorEastAsia" w:hAnsiTheme="majorHAnsi" w:cstheme="majorBidi"/>
      <w:b/>
      <w:bCs/>
      <w:sz w:val="32"/>
      <w:szCs w:val="32"/>
    </w:rPr>
  </w:style>
  <w:style w:type="paragraph" w:styleId="a3">
    <w:name w:val="List Paragraph"/>
    <w:basedOn w:val="a"/>
    <w:uiPriority w:val="34"/>
    <w:qFormat/>
    <w:rsid w:val="00E63E20"/>
    <w:pPr>
      <w:ind w:firstLineChars="200" w:firstLine="420"/>
    </w:pPr>
  </w:style>
  <w:style w:type="paragraph" w:styleId="a4">
    <w:name w:val="header"/>
    <w:basedOn w:val="a"/>
    <w:link w:val="Char"/>
    <w:uiPriority w:val="99"/>
    <w:unhideWhenUsed/>
    <w:rsid w:val="0013353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33533"/>
    <w:rPr>
      <w:sz w:val="18"/>
      <w:szCs w:val="18"/>
    </w:rPr>
  </w:style>
  <w:style w:type="paragraph" w:styleId="a5">
    <w:name w:val="footer"/>
    <w:basedOn w:val="a"/>
    <w:link w:val="Char0"/>
    <w:uiPriority w:val="99"/>
    <w:unhideWhenUsed/>
    <w:rsid w:val="00133533"/>
    <w:pPr>
      <w:tabs>
        <w:tab w:val="center" w:pos="4153"/>
        <w:tab w:val="right" w:pos="8306"/>
      </w:tabs>
      <w:snapToGrid w:val="0"/>
      <w:jc w:val="left"/>
    </w:pPr>
    <w:rPr>
      <w:sz w:val="18"/>
      <w:szCs w:val="18"/>
    </w:rPr>
  </w:style>
  <w:style w:type="character" w:customStyle="1" w:styleId="Char0">
    <w:name w:val="页脚 Char"/>
    <w:basedOn w:val="a0"/>
    <w:link w:val="a5"/>
    <w:uiPriority w:val="99"/>
    <w:rsid w:val="0013353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982094">
      <w:bodyDiv w:val="1"/>
      <w:marLeft w:val="0"/>
      <w:marRight w:val="0"/>
      <w:marTop w:val="0"/>
      <w:marBottom w:val="0"/>
      <w:divBdr>
        <w:top w:val="none" w:sz="0" w:space="0" w:color="auto"/>
        <w:left w:val="none" w:sz="0" w:space="0" w:color="auto"/>
        <w:bottom w:val="none" w:sz="0" w:space="0" w:color="auto"/>
        <w:right w:val="none" w:sz="0" w:space="0" w:color="auto"/>
      </w:divBdr>
      <w:divsChild>
        <w:div w:id="2121606877">
          <w:marLeft w:val="0"/>
          <w:marRight w:val="0"/>
          <w:marTop w:val="0"/>
          <w:marBottom w:val="0"/>
          <w:divBdr>
            <w:top w:val="none" w:sz="0" w:space="0" w:color="auto"/>
            <w:left w:val="none" w:sz="0" w:space="0" w:color="auto"/>
            <w:bottom w:val="none" w:sz="0" w:space="0" w:color="auto"/>
            <w:right w:val="none" w:sz="0" w:space="0" w:color="auto"/>
          </w:divBdr>
        </w:div>
      </w:divsChild>
    </w:div>
    <w:div w:id="282426530">
      <w:bodyDiv w:val="1"/>
      <w:marLeft w:val="0"/>
      <w:marRight w:val="0"/>
      <w:marTop w:val="0"/>
      <w:marBottom w:val="0"/>
      <w:divBdr>
        <w:top w:val="none" w:sz="0" w:space="0" w:color="auto"/>
        <w:left w:val="none" w:sz="0" w:space="0" w:color="auto"/>
        <w:bottom w:val="none" w:sz="0" w:space="0" w:color="auto"/>
        <w:right w:val="none" w:sz="0" w:space="0" w:color="auto"/>
      </w:divBdr>
      <w:divsChild>
        <w:div w:id="1372152983">
          <w:marLeft w:val="0"/>
          <w:marRight w:val="0"/>
          <w:marTop w:val="0"/>
          <w:marBottom w:val="75"/>
          <w:divBdr>
            <w:top w:val="none" w:sz="0" w:space="0" w:color="auto"/>
            <w:left w:val="none" w:sz="0" w:space="0" w:color="auto"/>
            <w:bottom w:val="none" w:sz="0" w:space="0" w:color="auto"/>
            <w:right w:val="none" w:sz="0" w:space="0" w:color="auto"/>
          </w:divBdr>
          <w:divsChild>
            <w:div w:id="144660995">
              <w:marLeft w:val="0"/>
              <w:marRight w:val="0"/>
              <w:marTop w:val="0"/>
              <w:marBottom w:val="750"/>
              <w:divBdr>
                <w:top w:val="none" w:sz="0" w:space="0" w:color="auto"/>
                <w:left w:val="none" w:sz="0" w:space="0" w:color="auto"/>
                <w:bottom w:val="none" w:sz="0" w:space="0" w:color="auto"/>
                <w:right w:val="none" w:sz="0" w:space="0" w:color="auto"/>
              </w:divBdr>
              <w:divsChild>
                <w:div w:id="89701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82632">
      <w:bodyDiv w:val="1"/>
      <w:marLeft w:val="0"/>
      <w:marRight w:val="0"/>
      <w:marTop w:val="0"/>
      <w:marBottom w:val="0"/>
      <w:divBdr>
        <w:top w:val="none" w:sz="0" w:space="0" w:color="auto"/>
        <w:left w:val="none" w:sz="0" w:space="0" w:color="auto"/>
        <w:bottom w:val="none" w:sz="0" w:space="0" w:color="auto"/>
        <w:right w:val="none" w:sz="0" w:space="0" w:color="auto"/>
      </w:divBdr>
      <w:divsChild>
        <w:div w:id="1697341217">
          <w:marLeft w:val="0"/>
          <w:marRight w:val="0"/>
          <w:marTop w:val="0"/>
          <w:marBottom w:val="0"/>
          <w:divBdr>
            <w:top w:val="none" w:sz="0" w:space="0" w:color="auto"/>
            <w:left w:val="none" w:sz="0" w:space="0" w:color="auto"/>
            <w:bottom w:val="none" w:sz="0" w:space="0" w:color="auto"/>
            <w:right w:val="none" w:sz="0" w:space="0" w:color="auto"/>
          </w:divBdr>
        </w:div>
      </w:divsChild>
    </w:div>
    <w:div w:id="969869954">
      <w:bodyDiv w:val="1"/>
      <w:marLeft w:val="0"/>
      <w:marRight w:val="0"/>
      <w:marTop w:val="0"/>
      <w:marBottom w:val="0"/>
      <w:divBdr>
        <w:top w:val="none" w:sz="0" w:space="0" w:color="auto"/>
        <w:left w:val="none" w:sz="0" w:space="0" w:color="auto"/>
        <w:bottom w:val="none" w:sz="0" w:space="0" w:color="auto"/>
        <w:right w:val="none" w:sz="0" w:space="0" w:color="auto"/>
      </w:divBdr>
      <w:divsChild>
        <w:div w:id="311644634">
          <w:marLeft w:val="0"/>
          <w:marRight w:val="0"/>
          <w:marTop w:val="0"/>
          <w:marBottom w:val="0"/>
          <w:divBdr>
            <w:top w:val="none" w:sz="0" w:space="0" w:color="auto"/>
            <w:left w:val="none" w:sz="0" w:space="0" w:color="auto"/>
            <w:bottom w:val="none" w:sz="0" w:space="0" w:color="auto"/>
            <w:right w:val="none" w:sz="0" w:space="0" w:color="auto"/>
          </w:divBdr>
        </w:div>
      </w:divsChild>
    </w:div>
    <w:div w:id="1439523051">
      <w:bodyDiv w:val="1"/>
      <w:marLeft w:val="0"/>
      <w:marRight w:val="0"/>
      <w:marTop w:val="0"/>
      <w:marBottom w:val="0"/>
      <w:divBdr>
        <w:top w:val="none" w:sz="0" w:space="0" w:color="auto"/>
        <w:left w:val="none" w:sz="0" w:space="0" w:color="auto"/>
        <w:bottom w:val="none" w:sz="0" w:space="0" w:color="auto"/>
        <w:right w:val="none" w:sz="0" w:space="0" w:color="auto"/>
      </w:divBdr>
      <w:divsChild>
        <w:div w:id="822887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9</Pages>
  <Words>391</Words>
  <Characters>2235</Characters>
  <Application>Microsoft Office Word</Application>
  <DocSecurity>0</DocSecurity>
  <Lines>18</Lines>
  <Paragraphs>5</Paragraphs>
  <ScaleCrop>false</ScaleCrop>
  <Company>NBINFO</Company>
  <LinksUpToDate>false</LinksUpToDate>
  <CharactersWithSpaces>2621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毛岱波</dc:creator>
  <cp:keywords/>
  <dc:description/>
  <cp:lastModifiedBy>毛岱波</cp:lastModifiedBy>
  <cp:revision>20</cp:revision>
  <dcterms:created xsi:type="dcterms:W3CDTF">2015-09-24T01:27:00Z</dcterms:created>
  <dcterms:modified xsi:type="dcterms:W3CDTF">2015-09-24T05:28:00Z</dcterms:modified>
</cp:coreProperties>
</file>