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9"/>
        <w:gridCol w:w="2084"/>
        <w:gridCol w:w="2985"/>
        <w:gridCol w:w="2972"/>
        <w:gridCol w:w="1934"/>
        <w:gridCol w:w="1168"/>
        <w:gridCol w:w="180"/>
        <w:gridCol w:w="18"/>
      </w:tblGrid>
      <w:tr>
        <w:trPr>
          <w:trHeight w:val="1350" w:hRule="atLeast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  <w:tc>
          <w:tcPr>
            <w:tcW w:w="9975" w:type="dxa"/>
            <w:gridSpan w:val="4"/>
            <w:tcBorders>
              <w:top w:val="nil"/>
              <w:left w:val="nil"/>
              <w:bottom w:val="nil"/>
              <w:right w:val="single" w:sz="36" w:space="0" w:color="FFFFFF"/>
              <w:insideH w:val="nil"/>
              <w:insideV w:val="single" w:sz="36" w:space="0" w:color="FFFFFF"/>
            </w:tcBorders>
            <w:shd w:color="auto" w:fill="004C73" w:themeFill="accent4" w:themeFillShade="bf" w:val="clear"/>
            <w:vAlign w:val="center"/>
          </w:tcPr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Adama Science and Technology University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School of Electrical Engineering and Computing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Department of Computer Science and Engineering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Computer Science and Engineering Club</w:t>
            </w:r>
          </w:p>
        </w:tc>
        <w:tc>
          <w:tcPr>
            <w:tcW w:w="1168" w:type="dxa"/>
            <w:tcBorders>
              <w:top w:val="nil"/>
              <w:left w:val="single" w:sz="36" w:space="0" w:color="FFFFFF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  <w:vAlign w:val="center"/>
          </w:tcPr>
          <w:p>
            <w:pPr>
              <w:pStyle w:val="Graphic"/>
              <w:spacing w:before="40" w:after="0"/>
              <w:rPr>
                <w:rFonts w:ascii="Nyala" w:hAnsi="Nyala"/>
              </w:rPr>
            </w:pPr>
            <w:r>
              <w:rPr/>
              <w:drawing>
                <wp:inline distT="0" distB="0" distL="0" distR="0">
                  <wp:extent cx="604520" cy="604520"/>
                  <wp:effectExtent l="0" t="0" r="0" b="0"/>
                  <wp:docPr id="1" name="Picture 21326061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Graphic"/>
              <w:spacing w:before="40" w:after="0"/>
              <w:rPr>
                <w:rFonts w:ascii="Nyala" w:hAnsi="Nyala"/>
                <w:color w:val="006666" w:themeColor="accent3"/>
              </w:rPr>
            </w:pPr>
            <w:r>
              <w:rPr>
                <w:rFonts w:ascii="Nyala" w:hAnsi="Nyala"/>
                <w:color w:val="006666" w:themeColor="accent3"/>
              </w:rPr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/>
            </w:pPr>
            <w:r>
              <w:rPr/>
            </w:r>
          </w:p>
        </w:tc>
      </w:tr>
      <w:tr>
        <w:trPr>
          <w:trHeight w:val="1167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Title"/>
              <w:spacing w:before="400" w:after="0"/>
              <w:contextualSpacing/>
              <w:rPr>
                <w:rFonts w:ascii="Nyala" w:hAnsi="Nyala"/>
                <w:color w:val="004C73" w:themeColor="accent4" w:themeShade="bf"/>
              </w:rPr>
            </w:pPr>
            <w:r>
              <w:rPr>
                <w:rFonts w:ascii="Nyala" w:hAnsi="Nyala"/>
                <w:color w:val="004C73" w:themeColor="accent4" w:themeShade="bf"/>
              </w:rPr>
              <w:t>Weekly activity report</w:t>
            </w:r>
          </w:p>
        </w:tc>
      </w:tr>
      <w:tr>
        <w:trPr>
          <w:trHeight w:val="864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spacing w:before="0" w:after="0"/>
              <w:contextualSpacing/>
              <w:rPr>
                <w:rFonts w:ascii="Nyala" w:hAnsi="Nyala"/>
              </w:rPr>
            </w:pPr>
            <w:r>
              <w:rPr>
                <w:rFonts w:ascii="Nyala" w:hAnsi="Nyala"/>
                <w:color w:val="004C73" w:themeColor="accent4" w:themeShade="bf"/>
              </w:rPr>
              <w:t>summary</w:t>
            </w:r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663899391"/>
              </w:sdtPr>
              <w:sdtContent>
                <w:r>
                  <w:rPr>
                    <w:rFonts w:ascii="Nyala" w:hAnsi="Nyala"/>
                  </w:rPr>
                  <w:t>Report Date</w:t>
                </w:r>
              </w:sdtContent>
            </w:sdt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WEEK - 1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445286600"/>
              </w:sdtPr>
              <w:sdtContent>
                <w:r>
                  <w:rPr>
                    <w:rFonts w:ascii="Nyala" w:hAnsi="Nyala"/>
                  </w:rPr>
                  <w:t>Prepared By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February 25, 2021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 xml:space="preserve">Feb 15, 2021 – Feb 21, 2021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Competitive Programming Division Head (CPD)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Mebatsion Sahle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694803314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Status Summary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  <w:t>As the first week of the work, me and my associates tried to do works that needs more priority.</w:t>
      </w:r>
    </w:p>
    <w:tbl>
      <w:tblPr>
        <w:tblStyle w:val="StatusReportTable"/>
        <w:tblW w:w="5000" w:type="pct"/>
        <w:jc w:val="left"/>
        <w:tblInd w:w="0" w:type="dxa"/>
        <w:tblBorders>
          <w:bottom w:val="single" w:sz="18" w:space="0" w:color="FEDE00"/>
          <w:insideH w:val="single" w:sz="18" w:space="0" w:color="FEDE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878"/>
        <w:gridCol w:w="270"/>
        <w:gridCol w:w="882"/>
        <w:gridCol w:w="1152"/>
        <w:gridCol w:w="1730"/>
        <w:gridCol w:w="18"/>
        <w:gridCol w:w="1708"/>
        <w:gridCol w:w="2882"/>
      </w:tblGrid>
      <w:tr>
        <w:trPr>
          <w:trHeight w:val="720" w:hRule="atLeast"/>
        </w:trPr>
        <w:tc>
          <w:tcPr>
            <w:tcW w:w="11520" w:type="dxa"/>
            <w:gridSpan w:val="8"/>
            <w:tcBorders>
              <w:bottom w:val="single" w:sz="18" w:space="0" w:color="FEDE00"/>
              <w:insideH w:val="single" w:sz="18" w:space="0" w:color="FEDE00"/>
            </w:tcBorders>
            <w:shd w:fill="006666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jc w:val="left"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1987169457"/>
              </w:sdtPr>
              <w:sdtContent>
                <w:r>
                  <w:rPr>
                    <w:rFonts w:ascii="Nyala" w:hAnsi="Nyala"/>
                    <w:b w:val="false"/>
                    <w:i w:val="false"/>
                    <w:caps w:val="false"/>
                    <w:smallCaps w:val="false"/>
                    <w:color w:val="004C73" w:themeColor="accent4" w:themeShade="bf"/>
                    <w:sz w:val="20"/>
                  </w:rPr>
                  <w:t>Project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704596662"/>
              </w:sdtPr>
              <w:sdtContent>
                <w:r>
                  <w:rPr>
                    <w:rFonts w:ascii="Nyala" w:hAnsi="Nyala"/>
                    <w:color w:val="FFFFFF"/>
                  </w:rPr>
                  <w:t>task</w:t>
                </w:r>
              </w:sdtContent>
            </w:sdt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666925673"/>
              </w:sdtPr>
              <w:sdtContent>
                <w:r>
                  <w:rPr>
                    <w:rFonts w:ascii="Nyala" w:hAnsi="Nyala"/>
                    <w:color w:val="FFFFFF"/>
                  </w:rPr>
                  <w:t>% Done</w:t>
                </w:r>
              </w:sdtContent>
            </w:sdt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659471875"/>
              </w:sdtPr>
              <w:sdtContent>
                <w:r>
                  <w:rPr>
                    <w:rFonts w:ascii="Nyala" w:hAnsi="Nyala"/>
                    <w:color w:val="FFFFFF"/>
                  </w:rPr>
                  <w:t>Due date</w:t>
                </w:r>
              </w:sdtContent>
            </w:sdt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721818729"/>
              </w:sdtPr>
              <w:sdtContent>
                <w:r>
                  <w:rPr>
                    <w:rFonts w:ascii="Nyala" w:hAnsi="Nyala"/>
                    <w:color w:val="FFFFFF"/>
                  </w:rPr>
                  <w:t>driver</w:t>
                </w:r>
              </w:sdtContent>
            </w:sdt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418796642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tabs>
                <w:tab w:val="center" w:pos="1332" w:leader="none"/>
              </w:tabs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Filtering existing members and collecting data of last year results</w:t>
              <w:tab/>
            </w:r>
          </w:p>
          <w:p>
            <w:pPr>
              <w:pStyle w:val="Normal"/>
              <w:tabs>
                <w:tab w:val="center" w:pos="1332" w:leader="none"/>
              </w:tabs>
              <w:spacing w:before="40" w:after="40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Feb 15 – Feb 21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Mukerem Ali, Ahmed Hibet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Was collected from members and from previous data sheets.</w:t>
              <w:br/>
              <w:t>Result =&gt; total 42 members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Meeting with executive committee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Feb 15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Mukerem Ali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Setting Work plans for the week ahead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Creating Subdivisions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Feb 16 – Feb 17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Competitive Programming(ICPC)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rFonts w:ascii="Nyala" w:hAnsi="Nyala"/>
                <w:color w:val="000000"/>
              </w:rPr>
              <w:t>Ahmed Hibet</w:t>
            </w:r>
          </w:p>
          <w:p>
            <w:pPr>
              <w:pStyle w:val="Normal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Data Science Towards AI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Yohannes Melese</w:t>
            </w:r>
          </w:p>
          <w:p>
            <w:pPr>
              <w:pStyle w:val="Normal"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Cybersecurity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/>
              <w:rPr>
                <w:rFonts w:ascii="Nyala" w:hAnsi="Nyala"/>
              </w:rPr>
            </w:pPr>
            <w:r>
              <w:rPr>
                <w:rFonts w:ascii="Nyala" w:hAnsi="Nyala"/>
                <w:color w:val="000000"/>
              </w:rPr>
              <w:t>Elias Amha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Registration to recruit new CPD members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15 – Feb 17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Sahle, Wendirad Demelash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147 students registered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Preparation for Competitive Programming entrance exam day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  <w:bookmarkStart w:id="0" w:name="_GoBack"/>
            <w:bookmarkEnd w:id="0"/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rFonts w:ascii="Nyala" w:hAnsi="Nyala"/>
                <w:bCs/>
                <w:color w:val="000000"/>
              </w:rPr>
              <w:t xml:space="preserve">Give training about the Andalus CPOJ for some existing members 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color w:val="000000"/>
              </w:rPr>
              <w:t>Feb 18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color w:val="000000"/>
              </w:rPr>
              <w:t>Elias Amha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color w:val="000000"/>
              </w:rPr>
              <w:t>Give a tutorial for the registered students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color w:val="000000"/>
              </w:rPr>
              <w:t>Feb 19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color w:val="000000"/>
              </w:rPr>
              <w:t>Wendirad Demelash, Admasu Abera, Temkin Mengistu, Biruk Alamirew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bookmarkStart w:id="1" w:name="__DdeLink__1538_3674771386"/>
            <w:r>
              <w:rPr>
                <w:rFonts w:ascii="Nyala" w:hAnsi="Nyala"/>
                <w:bCs/>
                <w:color w:val="000000"/>
              </w:rPr>
              <w:t>Assigning existing members to give tutorial for new coming students.</w:t>
            </w:r>
            <w:bookmarkEnd w:id="1"/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19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Sahle, Yonatan Assefa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Less students than expected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Assigning existing members to prepare questions for new coming students.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14 – Feb 17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Mukerem Ali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  <w:color w:val="000000"/>
              </w:rPr>
            </w:pPr>
            <w:r>
              <w:rPr>
                <w:rFonts w:ascii="Nyala" w:hAnsi="Nyala"/>
                <w:bCs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Assigning existing members to ready judge system (Andalus CPOJ) for new coming student’s entrance exam day.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17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Mukerem Ali, 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  <w:color w:val="000000"/>
              </w:rPr>
            </w:pPr>
            <w:r>
              <w:rPr>
                <w:rFonts w:ascii="Nyala" w:hAnsi="Nyala"/>
                <w:bCs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Assigning existing members to examine, control judge system and supervise exam of new members.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99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16 – Feb 20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Non-assigned members were at the lab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Requesting additional labs up to the vice president of academic affairs.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18 – Feb 19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Labs were not available because misuse of class labs.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Preparing additional labs ready for the contest.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95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20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Abdul Majid Shemsu, Abdi Adem, Naila Abdallah, Bemnet Nikodimos, Meaza Nigusu, Admasu Abera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Checking code editors and connections, setting Wi-Fi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Competitive Programming Division entrance exam  day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lineRule="auto" w:line="276" w:before="0" w:after="200"/>
              <w:rPr>
                <w:rFonts w:ascii="Nyala" w:hAnsi="Nyala" w:cs="Times New Roman"/>
              </w:rPr>
            </w:pPr>
            <w:r>
              <w:rPr>
                <w:rFonts w:cs="Times New Roman" w:ascii="Nyala" w:hAnsi="Nyala"/>
                <w:color w:val="000000"/>
              </w:rPr>
              <w:t>Examine, Control Judge System and supervise exam of new members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90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20, 2021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Yohannes Melese, Elias Amha, Temkin Mengistu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 xml:space="preserve">Examining problem helping students up to answer of questions, question sample input output problems. 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lineRule="auto" w:line="276" w:before="0" w:after="200"/>
              <w:rPr>
                <w:rFonts w:ascii="Nyala" w:hAnsi="Nyala" w:cs="Times New Roman"/>
              </w:rPr>
            </w:pPr>
            <w:r>
              <w:rPr>
                <w:rFonts w:ascii="Nyala" w:hAnsi="Nyala"/>
                <w:bCs/>
                <w:color w:val="000000"/>
              </w:rPr>
              <w:t>Judging the results and selecting the new members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98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20 – Feb 21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Sahle, Bemnet Nikodimos, Abdi Adem, Ahmed Hibet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rFonts w:ascii="Nyala" w:hAnsi="Nyala"/>
                <w:bCs/>
                <w:color w:val="000000"/>
              </w:rPr>
              <w:t xml:space="preserve">Result total of </w:t>
            </w:r>
            <w:r>
              <w:rPr>
                <w:rFonts w:ascii="Nyala" w:hAnsi="Nyala"/>
                <w:b/>
                <w:bCs/>
                <w:color w:val="000000"/>
              </w:rPr>
              <w:t>29</w:t>
            </w:r>
            <w:r>
              <w:rPr>
                <w:rFonts w:ascii="Nyala" w:hAnsi="Nyala"/>
                <w:bCs/>
                <w:color w:val="000000"/>
              </w:rPr>
              <w:t xml:space="preserve"> new members recruited</w:t>
            </w:r>
          </w:p>
          <w:p>
            <w:pPr>
              <w:pStyle w:val="Normal"/>
              <w:spacing w:before="40" w:after="40"/>
              <w:rPr>
                <w:color w:val="FFFFFF" w:themeColor="background1"/>
              </w:rPr>
            </w:pPr>
            <w:r>
              <w:rPr>
                <w:rFonts w:ascii="Nyala" w:hAnsi="Nyala"/>
                <w:bCs/>
                <w:color w:val="000000"/>
              </w:rPr>
              <w:t>(13 from 2</w:t>
            </w:r>
            <w:r>
              <w:rPr>
                <w:rFonts w:ascii="Nyala" w:hAnsi="Nyala"/>
                <w:bCs/>
                <w:color w:val="000000"/>
                <w:vertAlign w:val="superscript"/>
              </w:rPr>
              <w:t>nd</w:t>
            </w:r>
            <w:r>
              <w:rPr>
                <w:rFonts w:ascii="Nyala" w:hAnsi="Nyala"/>
                <w:bCs/>
                <w:color w:val="000000"/>
              </w:rPr>
              <w:t xml:space="preserve">  year &amp; 16 from 3</w:t>
            </w:r>
            <w:r>
              <w:rPr>
                <w:rFonts w:ascii="Nyala" w:hAnsi="Nyala"/>
                <w:bCs/>
                <w:color w:val="000000"/>
                <w:vertAlign w:val="superscript"/>
              </w:rPr>
              <w:t>rd</w:t>
            </w:r>
            <w:r>
              <w:rPr>
                <w:rFonts w:ascii="Nyala" w:hAnsi="Nyala"/>
                <w:bCs/>
                <w:color w:val="000000"/>
              </w:rPr>
              <w:t xml:space="preserve"> year)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Post Competitive Programming entrance exam day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Released results of the recruited members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21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Wendirad Demelash, Israel Dawit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Posted on telegram @CSEC_ASTU channel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Accepting complaints and resolve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21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2 complaints technical issue raised but resolved</w:t>
            </w:r>
          </w:p>
        </w:tc>
      </w:tr>
      <w:tr>
        <w:trPr>
          <w:trHeight w:val="331" w:hRule="atLeast"/>
        </w:trPr>
        <w:tc>
          <w:tcPr>
            <w:tcW w:w="3148" w:type="dxa"/>
            <w:gridSpan w:val="2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Announce orientation day on Competitive Programming Division (ICPC) procedures.</w:t>
            </w:r>
          </w:p>
        </w:tc>
        <w:tc>
          <w:tcPr>
            <w:tcW w:w="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2900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Feb 21</w:t>
            </w:r>
          </w:p>
        </w:tc>
        <w:tc>
          <w:tcPr>
            <w:tcW w:w="1708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Wendirad Demelash, Israel Dawit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Cs/>
              </w:rPr>
            </w:pPr>
            <w:r>
              <w:rPr>
                <w:rFonts w:ascii="Nyala" w:hAnsi="Nyala"/>
                <w:bCs/>
                <w:color w:val="000000"/>
              </w:rPr>
              <w:t>Posted on telegram @CSEC_ASTU channel and @CSEC_CPD_Official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8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fill="E5EAEE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770726538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Budget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370277528"/>
              </w:sdtPr>
              <w:sdtContent>
                <w:r>
                  <w:rPr>
                    <w:rFonts w:ascii="Nyala" w:hAnsi="Nyala"/>
                    <w:color w:val="FFFFFF"/>
                  </w:rPr>
                  <w:t>category</w:t>
                </w:r>
              </w:sdtContent>
            </w:sdt>
          </w:p>
        </w:tc>
        <w:tc>
          <w:tcPr>
            <w:tcW w:w="2304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2101439450"/>
              </w:sdtPr>
              <w:sdtContent>
                <w:r>
                  <w:rPr>
                    <w:rFonts w:ascii="Nyala" w:hAnsi="Nyala"/>
                    <w:color w:val="FFFFFF"/>
                  </w:rPr>
                  <w:t>spent</w:t>
                </w:r>
              </w:sdtContent>
            </w:sdt>
          </w:p>
        </w:tc>
        <w:tc>
          <w:tcPr>
            <w:tcW w:w="1730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364049632"/>
              </w:sdtPr>
              <w:sdtContent>
                <w:r>
                  <w:rPr>
                    <w:rFonts w:ascii="Nyala" w:hAnsi="Nyala"/>
                    <w:color w:val="FFFFFF"/>
                  </w:rPr>
                  <w:t>% of total</w:t>
                </w:r>
              </w:sdtContent>
            </w:sdt>
          </w:p>
        </w:tc>
        <w:tc>
          <w:tcPr>
            <w:tcW w:w="1726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779729795"/>
              </w:sdtPr>
              <w:sdtContent>
                <w:r>
                  <w:rPr>
                    <w:rFonts w:ascii="Nyala" w:hAnsi="Nyala"/>
                    <w:color w:val="FFFFFF"/>
                  </w:rPr>
                  <w:t>on track?</w:t>
                </w:r>
              </w:sdtContent>
            </w:sdt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682538964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878" w:type="dxa"/>
            <w:tcBorders>
              <w:top w:val="single" w:sz="18" w:space="0" w:color="FEDE00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304" w:type="dxa"/>
            <w:gridSpan w:val="3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30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26" w:type="dxa"/>
            <w:gridSpan w:val="2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right w:val="single" w:sz="12" w:space="0" w:color="FFFFFF"/>
              <w:insideH w:val="single" w:sz="18" w:space="0" w:color="FEDE00"/>
              <w:insideV w:val="single" w:sz="12" w:space="0" w:color="FFFFFF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882" w:type="dxa"/>
            <w:tcBorders>
              <w:top w:val="single" w:sz="18" w:space="0" w:color="FEDE00"/>
              <w:left w:val="single" w:sz="12" w:space="0" w:color="FFFFFF"/>
              <w:bottom w:val="single" w:sz="18" w:space="0" w:color="FEDE00"/>
              <w:insideH w:val="single" w:sz="18" w:space="0" w:color="FEDE00"/>
            </w:tcBorders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58"/>
        <w:gridCol w:w="2880"/>
        <w:gridCol w:w="2882"/>
      </w:tblGrid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2082217107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Risk and issue history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700978408"/>
              </w:sdtPr>
              <w:sdtContent>
                <w:r>
                  <w:rPr>
                    <w:rFonts w:ascii="Nyala" w:hAnsi="Nyala"/>
                  </w:rPr>
                  <w:t>issue</w:t>
                </w:r>
              </w:sdtContent>
            </w:sdt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510798733"/>
              </w:sdtPr>
              <w:sdtContent>
                <w:r>
                  <w:rPr>
                    <w:rFonts w:ascii="Nyala" w:hAnsi="Nyala"/>
                  </w:rPr>
                  <w:t>ASSIGNED TO</w:t>
                </w:r>
              </w:sdtContent>
            </w:sdt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996844438"/>
              </w:sdtPr>
              <w:sdtContent>
                <w:r>
                  <w:rPr>
                    <w:rFonts w:ascii="Nyala" w:hAnsi="Nyala"/>
                  </w:rPr>
                  <w:t>DATE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57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  <w:t>Work isn’t done (</w:t>
            </w:r>
            <w:r>
              <w:rPr>
                <w:rFonts w:ascii="Nyala" w:hAnsi="Nyala"/>
                <w:bCs/>
              </w:rPr>
              <w:t>Requesting additional labs up to the vice president of academic affairs.</w:t>
            </w:r>
            <w:r>
              <w:rPr>
                <w:rFonts w:ascii="Nyala" w:hAnsi="Nyala"/>
                <w:b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  <w:t>Yohannes Fikru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  <w:t>Feb 25 2021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976109542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CONCLUSIONS/RECOMMENDATIONS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widowControl/>
        <w:bidi w:val="0"/>
        <w:spacing w:before="40" w:after="40"/>
        <w:jc w:val="left"/>
        <w:rPr/>
      </w:pPr>
      <w:r>
        <w:rPr>
          <w:rFonts w:ascii="Nyala" w:hAnsi="Nyala"/>
        </w:rPr>
        <w:t>Doing anything or more days before is recommended. Plus make everything official.</w:t>
      </w:r>
    </w:p>
    <w:sectPr>
      <w:footerReference w:type="default" r:id="rId3"/>
      <w:type w:val="nextPage"/>
      <w:pgSz w:w="12240" w:h="15840"/>
      <w:pgMar w:left="360" w:right="360" w:header="0" w:top="360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Franklin Gothic Medium">
    <w:charset w:val="01"/>
    <w:family w:val="roman"/>
    <w:pitch w:val="variable"/>
  </w:font>
  <w:font w:name="Segoe UI">
    <w:charset w:val="01"/>
    <w:family w:val="roman"/>
    <w:pitch w:val="variable"/>
  </w:font>
  <w:font w:name="Nyal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yal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4653556"/>
      <w:alias w:val="Enter Company:"/>
    </w:sdtPr>
    <w:sdtContent>
      <w:p>
        <w:pPr>
          <w:pStyle w:val="Footer"/>
          <w:spacing w:before="40" w:after="0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widowControl/>
          <w:bidi w:val="0"/>
          <w:spacing w:before="40" w:after="40"/>
          <w:jc w:val="lef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495" w:hanging="360"/>
      </w:pPr>
      <w:rPr>
        <w:rFonts w:ascii="Nyala" w:hAnsi="Nyala" w:cs="Nyala" w:hint="default"/>
        <w:rFonts w:cs=""/>
      </w:rPr>
    </w:lvl>
    <w:lvl w:ilvl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3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5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9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1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5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251688"/>
    <w:pPr>
      <w:widowControl/>
      <w:bidi w:val="0"/>
      <w:spacing w:before="40" w:after="40"/>
      <w:jc w:val="left"/>
    </w:pPr>
    <w:rPr>
      <w:rFonts w:ascii="Franklin Gothic Book" w:hAnsi="Franklin Gothic Book" w:eastAsia="Franklin Gothic Book" w:cs="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 w:val="true"/>
      <w:keepLines/>
      <w:spacing w:before="40" w:after="0"/>
      <w:outlineLvl w:val="1"/>
    </w:pPr>
    <w:rPr>
      <w:rFonts w:eastAsia="" w:cs="" w:cstheme="majorBidi" w:eastAsiaTheme="majorEastAsia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 w:val="true"/>
      <w:keepLines/>
      <w:spacing w:before="40" w:after="0"/>
      <w:outlineLvl w:val="2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 w:val="true"/>
      <w:keepLines/>
      <w:spacing w:before="40" w:after="0"/>
      <w:outlineLvl w:val="3"/>
    </w:pPr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 w:val="true"/>
      <w:keepLines/>
      <w:spacing w:before="40" w:after="0"/>
      <w:outlineLvl w:val="4"/>
    </w:pPr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 w:val="true"/>
      <w:keepLines/>
      <w:spacing w:before="40" w:after="0"/>
      <w:outlineLvl w:val="5"/>
    </w:pPr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 w:val="true"/>
      <w:keepLines/>
      <w:spacing w:before="40" w:after="0"/>
      <w:outlineLvl w:val="6"/>
    </w:pPr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 w:val="true"/>
      <w:keepLines/>
      <w:spacing w:before="40" w:after="0"/>
      <w:outlineLvl w:val="7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 w:val="true"/>
      <w:keepLines/>
      <w:spacing w:before="40" w:after="0"/>
      <w:outlineLvl w:val="8"/>
    </w:pPr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90fed"/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e3a9c"/>
    <w:rPr>
      <w:rFonts w:eastAsia="" w:eastAsiaTheme="minorEastAsia"/>
      <w:color w:val="5A5A5A" w:themeColor="text1" w:themeTint="a5"/>
      <w:kern w:val="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styleId="FooterChar" w:customStyle="1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1960e4"/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kern w:val="2"/>
      <w:sz w:val="24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="Franklin Gothic Medium" w:hAnsi="Franklin Gothic Medium"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1a58e9"/>
    <w:rPr>
      <w:rFonts w:eastAsia="" w:cs="" w:cstheme="majorBidi" w:eastAsiaTheme="majorEastAsia"/>
      <w:caps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3"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kern w:val="2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kern w:val="2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kern w:val="2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kern w:val="2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kern w:val="2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kern w:val="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kern w:val="2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Nyala" w:hAnsi="Nyala" w:eastAsia="Franklin Gothic Book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Nyala" w:hAnsi="Nyala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/>
    <w:rPr>
      <w:rFonts w:eastAsia="" w:eastAsiaTheme="minorEastAsia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rsid w:val="00145d68"/>
    <w:pPr/>
    <w:rPr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before="4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styleId="Graphic" w:customStyle="1">
    <w:name w:val="Graphic"/>
    <w:basedOn w:val="Normal"/>
    <w:uiPriority w:val="5"/>
    <w:qFormat/>
    <w:rsid w:val="00bb4cb0"/>
    <w:pPr>
      <w:spacing w:before="40" w:after="0"/>
      <w:ind w:right="14" w:hanging="0"/>
      <w:jc w:val="righ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ContactInfo" w:customStyle="1">
    <w:name w:val="Contact Info"/>
    <w:basedOn w:val="Normal"/>
    <w:uiPriority w:val="1"/>
    <w:qFormat/>
    <w:rsid w:val="00356bb9"/>
    <w:pPr>
      <w:spacing w:before="40"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784e7b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E663A0" w:rsidP="00E663A0">
          <w:pPr>
            <w:pStyle w:val="2EC909D010A44E7698512FBBA7B97CD3"/>
          </w:pPr>
          <w:r>
            <w:t>Project Overview</w:t>
          </w:r>
        </w:p>
      </w:docPartBody>
    </w:docPart>
    <w:docPart>
      <w:docPartPr>
        <w:name w:val="1528732B4D614318B717A4D13F67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DFF9-EE75-40E1-835E-C314FD0A2760}"/>
      </w:docPartPr>
      <w:docPartBody>
        <w:p w:rsidR="00CC0D58" w:rsidRDefault="00E663A0" w:rsidP="00E663A0">
          <w:pPr>
            <w:pStyle w:val="1528732B4D614318B717A4D13F6754EA"/>
          </w:pPr>
          <w:r>
            <w:t>Budget Overview</w:t>
          </w:r>
        </w:p>
      </w:docPartBody>
    </w:docPart>
    <w:docPart>
      <w:docPartPr>
        <w:name w:val="B081E784702E4355A67F5F9F0718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0EE3-6B95-4B91-85F1-D7C040CC88B4}"/>
      </w:docPartPr>
      <w:docPartBody>
        <w:p w:rsidR="00CC0D58" w:rsidRDefault="00E663A0" w:rsidP="00E663A0">
          <w:pPr>
            <w:pStyle w:val="B081E784702E4355A67F5F9F07188E01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336EE715248B49D88045C77B5D89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C5DD-7E50-44BB-8A86-264A744317E7}"/>
      </w:docPartPr>
      <w:docPartBody>
        <w:p w:rsidR="00CC0D58" w:rsidRDefault="00E663A0" w:rsidP="00E663A0">
          <w:pPr>
            <w:pStyle w:val="336EE715248B49D88045C77B5D893FA1"/>
          </w:pPr>
          <w:r w:rsidRPr="005A2C96">
            <w:t>CONCLUSIONS/RECOMMENDATIONS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88733A7B2B32443E9CB25830F4DA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8C79-D641-4FEE-98B2-E447112A7578}"/>
      </w:docPartPr>
      <w:docPartBody>
        <w:p w:rsidR="00CC0D58" w:rsidRDefault="00E663A0" w:rsidP="00E663A0">
          <w:pPr>
            <w:pStyle w:val="88733A7B2B32443E9CB25830F4DA9C0D2"/>
          </w:pPr>
          <w:r w:rsidRPr="001A58E9">
            <w:t>task</w:t>
          </w:r>
        </w:p>
      </w:docPartBody>
    </w:docPart>
    <w:docPart>
      <w:docPartPr>
        <w:name w:val="2A96174A75714C40AEB0915E9F08D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4A54-C346-4039-A257-486AB51C06D7}"/>
      </w:docPartPr>
      <w:docPartBody>
        <w:p w:rsidR="00CC0D58" w:rsidRDefault="00E663A0" w:rsidP="00E663A0">
          <w:pPr>
            <w:pStyle w:val="2A96174A75714C40AEB0915E9F08D6512"/>
          </w:pPr>
          <w:r w:rsidRPr="001A58E9">
            <w:t>% Done</w:t>
          </w:r>
        </w:p>
      </w:docPartBody>
    </w:docPart>
    <w:docPart>
      <w:docPartPr>
        <w:name w:val="FF1B591C036D4FE99210C98471C5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EB40-EB45-4144-8A76-F12CC10087D6}"/>
      </w:docPartPr>
      <w:docPartBody>
        <w:p w:rsidR="00CC0D58" w:rsidRDefault="00E663A0" w:rsidP="00E663A0">
          <w:pPr>
            <w:pStyle w:val="FF1B591C036D4FE99210C98471C56DEA2"/>
          </w:pPr>
          <w:r w:rsidRPr="001A58E9">
            <w:t>Due date</w:t>
          </w:r>
        </w:p>
      </w:docPartBody>
    </w:docPart>
    <w:docPart>
      <w:docPartPr>
        <w:name w:val="34A3DCB1D5F4423F819B25440EEA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C7E3-9AE0-442E-AE84-053F0954AFC0}"/>
      </w:docPartPr>
      <w:docPartBody>
        <w:p w:rsidR="00CC0D58" w:rsidRDefault="00E663A0" w:rsidP="00E663A0">
          <w:pPr>
            <w:pStyle w:val="34A3DCB1D5F4423F819B25440EEA65B02"/>
          </w:pPr>
          <w:r w:rsidRPr="001A58E9">
            <w:t>driver</w:t>
          </w:r>
        </w:p>
      </w:docPartBody>
    </w:docPart>
    <w:docPart>
      <w:docPartPr>
        <w:name w:val="DD4BF8F3B1B74BCEAA2D9379C953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CB91-A0FB-4729-B216-046D6C7A7766}"/>
      </w:docPartPr>
      <w:docPartBody>
        <w:p w:rsidR="00CC0D58" w:rsidRDefault="00E663A0" w:rsidP="00E663A0">
          <w:pPr>
            <w:pStyle w:val="DD4BF8F3B1B74BCEAA2D9379C9534D742"/>
          </w:pPr>
          <w:r w:rsidRPr="001A58E9">
            <w:t>notes</w:t>
          </w:r>
        </w:p>
      </w:docPartBody>
    </w:docPart>
    <w:docPart>
      <w:docPartPr>
        <w:name w:val="E907012C119846C7A5164A7FB78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8730-6F74-4130-96FA-461FC5454272}"/>
      </w:docPartPr>
      <w:docPartBody>
        <w:p w:rsidR="00CC0D58" w:rsidRDefault="00E663A0" w:rsidP="00E663A0">
          <w:pPr>
            <w:pStyle w:val="E907012C119846C7A5164A7FB78585B82"/>
          </w:pPr>
          <w:r w:rsidRPr="001A58E9">
            <w:t>notes</w:t>
          </w:r>
        </w:p>
      </w:docPartBody>
    </w:docPart>
    <w:docPart>
      <w:docPartPr>
        <w:name w:val="B93F2498030B43EA96470BBAA2F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0BE6-A77F-45A2-97B7-E6FC75299CDF}"/>
      </w:docPartPr>
      <w:docPartBody>
        <w:p w:rsidR="00CC0D58" w:rsidRDefault="00E663A0" w:rsidP="00E663A0">
          <w:pPr>
            <w:pStyle w:val="B93F2498030B43EA96470BBAA2FA31692"/>
          </w:pPr>
          <w:r w:rsidRPr="001A58E9">
            <w:t>on track?</w:t>
          </w:r>
        </w:p>
      </w:docPartBody>
    </w:docPart>
    <w:docPart>
      <w:docPartPr>
        <w:name w:val="51B2ABD399F94559B554225E7F77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12B-F87D-4250-A620-796C0415EF49}"/>
      </w:docPartPr>
      <w:docPartBody>
        <w:p w:rsidR="00CC0D58" w:rsidRDefault="00E663A0" w:rsidP="00E663A0">
          <w:pPr>
            <w:pStyle w:val="51B2ABD399F94559B554225E7F7762D62"/>
          </w:pPr>
          <w:r w:rsidRPr="001A58E9">
            <w:t>% of total</w:t>
          </w:r>
        </w:p>
      </w:docPartBody>
    </w:docPart>
    <w:docPart>
      <w:docPartPr>
        <w:name w:val="F621070D5A024AE2B0BE658288F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D199-885A-45D0-A133-75604B3A8F9A}"/>
      </w:docPartPr>
      <w:docPartBody>
        <w:p w:rsidR="00CC0D58" w:rsidRDefault="00E663A0" w:rsidP="00E663A0">
          <w:pPr>
            <w:pStyle w:val="F621070D5A024AE2B0BE658288F2742B2"/>
          </w:pPr>
          <w:r w:rsidRPr="001A58E9">
            <w:t>spent</w:t>
          </w:r>
        </w:p>
      </w:docPartBody>
    </w:docPart>
    <w:docPart>
      <w:docPartPr>
        <w:name w:val="38D9A38F39004D93961DD7608BAE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0AF7-E0B5-48FF-9B58-F2CBF7600124}"/>
      </w:docPartPr>
      <w:docPartBody>
        <w:p w:rsidR="00CC0D58" w:rsidRDefault="00E663A0" w:rsidP="00E663A0">
          <w:pPr>
            <w:pStyle w:val="38D9A38F39004D93961DD7608BAE9FCD2"/>
          </w:pPr>
          <w:r w:rsidRPr="001A58E9">
            <w:t>category</w:t>
          </w:r>
        </w:p>
      </w:docPartBody>
    </w:docPart>
    <w:docPart>
      <w:docPartPr>
        <w:name w:val="640540B73E52415A832C0A1E703C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3F15-30CE-4349-ACC8-787874E2B7C6}"/>
      </w:docPartPr>
      <w:docPartBody>
        <w:p w:rsidR="00CC0D58" w:rsidRDefault="00E663A0" w:rsidP="00E663A0">
          <w:pPr>
            <w:pStyle w:val="640540B73E52415A832C0A1E703CA0712"/>
          </w:pPr>
          <w:r w:rsidRPr="001A58E9">
            <w:t>issue</w:t>
          </w:r>
        </w:p>
      </w:docPartBody>
    </w:docPart>
    <w:docPart>
      <w:docPartPr>
        <w:name w:val="0B1D60C6C00649A1B66101FFA6CE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A86E-3F02-45EB-BF4A-8E5A5CD32483}"/>
      </w:docPartPr>
      <w:docPartBody>
        <w:p w:rsidR="00CC0D58" w:rsidRDefault="00E663A0" w:rsidP="00E663A0">
          <w:pPr>
            <w:pStyle w:val="0B1D60C6C00649A1B66101FFA6CEFF4A2"/>
          </w:pPr>
          <w:r w:rsidRPr="001A58E9">
            <w:t>ASSIGNED TO</w:t>
          </w:r>
        </w:p>
      </w:docPartBody>
    </w:docPart>
    <w:docPart>
      <w:docPartPr>
        <w:name w:val="CDBB9891C294427BAB8CDC577219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309A-C38B-469E-AC5D-D496263A9859}"/>
      </w:docPartPr>
      <w:docPartBody>
        <w:p w:rsidR="00CC0D58" w:rsidRDefault="00E663A0" w:rsidP="00E663A0">
          <w:pPr>
            <w:pStyle w:val="CDBB9891C294427BAB8CDC577219C8C92"/>
          </w:pPr>
          <w:r w:rsidRPr="001A58E9">
            <w:t>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A7"/>
    <w:rsid w:val="001349CE"/>
    <w:rsid w:val="003507B6"/>
    <w:rsid w:val="003907A2"/>
    <w:rsid w:val="00712968"/>
    <w:rsid w:val="007E5123"/>
    <w:rsid w:val="00A61CDF"/>
    <w:rsid w:val="00A75037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paragraph" w:customStyle="1" w:styleId="0A1C0B9E298C4025B0D832993E1C6760">
    <w:name w:val="0A1C0B9E298C4025B0D832993E1C6760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7BBD1F9E5B064D9991CA23DEDE262168">
    <w:name w:val="7BBD1F9E5B064D9991CA23DEDE262168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A3B4355708A04326AECFB682C02FA2CE">
    <w:name w:val="A3B4355708A04326AECFB682C02FA2CE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4B0919EBFDBE4869901CF2280BC2A836">
    <w:name w:val="4B0919EBFDBE4869901CF2280BC2A836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A878C0511AD94665AE04E576AB6D5A6D">
    <w:name w:val="A878C0511AD94665AE04E576AB6D5A6D"/>
    <w:rsid w:val="00E663A0"/>
  </w:style>
  <w:style w:type="paragraph" w:customStyle="1" w:styleId="BFEFA89C4F5E4055A0F37E56EF16EB7C">
    <w:name w:val="BFEFA89C4F5E4055A0F37E56EF16EB7C"/>
    <w:rsid w:val="00E663A0"/>
  </w:style>
  <w:style w:type="paragraph" w:customStyle="1" w:styleId="19A90394E69146A0ADDDFDD084F35798">
    <w:name w:val="19A90394E69146A0ADDDFDD084F35798"/>
    <w:rsid w:val="00E663A0"/>
  </w:style>
  <w:style w:type="paragraph" w:customStyle="1" w:styleId="88733A7B2B32443E9CB25830F4DA9C0D">
    <w:name w:val="88733A7B2B32443E9CB25830F4DA9C0D"/>
    <w:rsid w:val="00E663A0"/>
  </w:style>
  <w:style w:type="paragraph" w:customStyle="1" w:styleId="2A96174A75714C40AEB0915E9F08D651">
    <w:name w:val="2A96174A75714C40AEB0915E9F08D651"/>
    <w:rsid w:val="00E663A0"/>
  </w:style>
  <w:style w:type="paragraph" w:customStyle="1" w:styleId="FF1B591C036D4FE99210C98471C56DEA">
    <w:name w:val="FF1B591C036D4FE99210C98471C56DEA"/>
    <w:rsid w:val="00E663A0"/>
  </w:style>
  <w:style w:type="paragraph" w:customStyle="1" w:styleId="34A3DCB1D5F4423F819B25440EEA65B0">
    <w:name w:val="34A3DCB1D5F4423F819B25440EEA65B0"/>
    <w:rsid w:val="00E663A0"/>
  </w:style>
  <w:style w:type="paragraph" w:customStyle="1" w:styleId="DD4BF8F3B1B74BCEAA2D9379C9534D74">
    <w:name w:val="DD4BF8F3B1B74BCEAA2D9379C9534D74"/>
    <w:rsid w:val="00E663A0"/>
  </w:style>
  <w:style w:type="paragraph" w:customStyle="1" w:styleId="E907012C119846C7A5164A7FB78585B8">
    <w:name w:val="E907012C119846C7A5164A7FB78585B8"/>
    <w:rsid w:val="00E663A0"/>
  </w:style>
  <w:style w:type="paragraph" w:customStyle="1" w:styleId="B93F2498030B43EA96470BBAA2FA3169">
    <w:name w:val="B93F2498030B43EA96470BBAA2FA3169"/>
    <w:rsid w:val="00E663A0"/>
  </w:style>
  <w:style w:type="paragraph" w:customStyle="1" w:styleId="51B2ABD399F94559B554225E7F7762D6">
    <w:name w:val="51B2ABD399F94559B554225E7F7762D6"/>
    <w:rsid w:val="00E663A0"/>
  </w:style>
  <w:style w:type="paragraph" w:customStyle="1" w:styleId="F621070D5A024AE2B0BE658288F2742B">
    <w:name w:val="F621070D5A024AE2B0BE658288F2742B"/>
    <w:rsid w:val="00E663A0"/>
  </w:style>
  <w:style w:type="paragraph" w:customStyle="1" w:styleId="38D9A38F39004D93961DD7608BAE9FCD">
    <w:name w:val="38D9A38F39004D93961DD7608BAE9FCD"/>
    <w:rsid w:val="00E663A0"/>
  </w:style>
  <w:style w:type="paragraph" w:customStyle="1" w:styleId="640540B73E52415A832C0A1E703CA071">
    <w:name w:val="640540B73E52415A832C0A1E703CA071"/>
    <w:rsid w:val="00E663A0"/>
  </w:style>
  <w:style w:type="paragraph" w:customStyle="1" w:styleId="0B1D60C6C00649A1B66101FFA6CEFF4A">
    <w:name w:val="0B1D60C6C00649A1B66101FFA6CEFF4A"/>
    <w:rsid w:val="00E663A0"/>
  </w:style>
  <w:style w:type="paragraph" w:customStyle="1" w:styleId="CDBB9891C294427BAB8CDC577219C8C9">
    <w:name w:val="CDBB9891C294427BAB8CDC577219C8C9"/>
    <w:rsid w:val="00E663A0"/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D2FB8EA93F0544FCA9755069005153BB">
    <w:name w:val="D2FB8EA93F0544FCA9755069005153BB"/>
    <w:rsid w:val="00E663A0"/>
  </w:style>
  <w:style w:type="paragraph" w:customStyle="1" w:styleId="3C0A45BE3CE848FB862934AD11B7FEF5">
    <w:name w:val="3C0A45BE3CE848FB862934AD11B7FEF5"/>
    <w:rsid w:val="00E663A0"/>
  </w:style>
  <w:style w:type="paragraph" w:customStyle="1" w:styleId="19A90394E69146A0ADDDFDD084F357981">
    <w:name w:val="19A90394E69146A0ADDDFDD084F3579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1">
    <w:name w:val="BFEFA89C4F5E4055A0F37E56EF16EB7C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1">
    <w:name w:val="A878C0511AD94665AE04E576AB6D5A6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1">
    <w:name w:val="88733A7B2B32443E9CB25830F4DA9C0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1">
    <w:name w:val="2A96174A75714C40AEB0915E9F08D65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1">
    <w:name w:val="FF1B591C036D4FE99210C98471C56DE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1">
    <w:name w:val="34A3DCB1D5F4423F819B25440EEA65B0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1">
    <w:name w:val="DD4BF8F3B1B74BCEAA2D9379C9534D74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1">
    <w:name w:val="38D9A38F39004D93961DD7608BAE9FC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1">
    <w:name w:val="F621070D5A024AE2B0BE658288F2742B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1">
    <w:name w:val="51B2ABD399F94559B554225E7F7762D6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1">
    <w:name w:val="B93F2498030B43EA96470BBAA2FA316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1">
    <w:name w:val="E907012C119846C7A5164A7FB78585B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1">
    <w:name w:val="640540B73E52415A832C0A1E703CA07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1">
    <w:name w:val="0B1D60C6C00649A1B66101FFA6CEFF4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1">
    <w:name w:val="CDBB9891C294427BAB8CDC577219C8C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2">
    <w:name w:val="BFEFA89C4F5E4055A0F37E56EF16EB7C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3</Pages>
  <Words>568</Words>
  <Characters>3045</Characters>
  <CharactersWithSpaces>3503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2021-02-25T14:31:00Z</dcterms:created>
  <dc:creator/>
  <dc:description/>
  <dc:language>en-US</dc:language>
  <cp:lastModifiedBy/>
  <dcterms:modified xsi:type="dcterms:W3CDTF">2021-03-01T15:22:57Z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