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D97706"/>
          <w:sz w:val="20"/>
        </w:rPr>
        <w:t>ENTERPRISE VIRTUAL CONSTRUCTION &amp; BI ANALYTICS</w:t>
        <w:br/>
      </w:r>
      <w:r>
        <w:rPr>
          <w:rFonts w:ascii="Calibri" w:hAnsi="Calibri"/>
          <w:b/>
          <w:color w:val="1B365D"/>
          <w:sz w:val="44"/>
        </w:rPr>
        <w:t>Week 2: Construction Project Management Data Transformation &amp; Power BI Ingestion Report</w:t>
      </w:r>
    </w:p>
    <w:p>
      <w:pPr>
        <w:spacing w:before="40" w:after="280"/>
      </w:pPr>
      <w:r>
        <w:rPr>
          <w:rFonts w:ascii="Calibri" w:hAnsi="Calibri"/>
          <w:color w:val="475569"/>
          <w:sz w:val="22"/>
        </w:rPr>
        <w:t>Comprehensive Technical Documentation for Automated ETL Pipeline, Data Quality Remediation, Star Schema Modeling, and KPI Engineering</w:t>
      </w:r>
    </w:p>
    <w:tbl>
      <w:tblPr>
        <w:tblW w:type="auto" w:w="0"/>
        <w:jc w:val="center"/>
        <w:tblLook w:firstColumn="1" w:firstRow="1" w:lastColumn="0" w:lastRow="0" w:noHBand="0" w:noVBand="1" w:val="04A0"/>
        <w:tblBorders>
          <w:top w:val="single" w:sz="4" w:space="0" w:color="CBD5E1"/>
          <w:bottom w:val="single" w:sz="4" w:space="0" w:color="CBD5E1"/>
          <w:left w:val="none" w:sz="0" w:space="0" w:color="auto"/>
          <w:right w:val="none" w:sz="0" w:space="0" w:color="auto"/>
          <w:insideH w:val="single" w:sz="4" w:space="0" w:color="CBD5E1"/>
          <w:insideV w:val="none" w:sz="0" w:space="0" w:color="auto"/>
        </w:tblBorders>
      </w:tblPr>
      <w:tblGrid>
        <w:gridCol w:w="2340"/>
        <w:gridCol w:w="2340"/>
        <w:gridCol w:w="2340"/>
        <w:gridCol w:w="2340"/>
      </w:tblGrid>
      <w:tr>
        <w:tc>
          <w:tcPr>
            <w:tcW w:type="dxa" w:w="2340"/>
            <w:shd w:fill="F1F5F9"/>
            <w:tcMar>
              <w:top w:w="80" w:type="dxa"/>
              <w:bottom w:w="80" w:type="dxa"/>
              <w:left w:w="100" w:type="dxa"/>
              <w:right w:w="100" w:type="dxa"/>
            </w:tcMar>
          </w:tcPr>
          <w:p>
            <w:pPr>
              <w:spacing w:after="0"/>
            </w:pPr>
            <w:r>
              <w:rPr>
                <w:rFonts w:ascii="Calibri" w:hAnsi="Calibri"/>
                <w:b/>
                <w:color w:val="1B365D"/>
                <w:sz w:val="18"/>
              </w:rPr>
              <w:t>Author / Role</w:t>
            </w:r>
          </w:p>
        </w:tc>
        <w:tc>
          <w:tcPr>
            <w:tcW w:type="dxa" w:w="2340"/>
            <w:shd w:fill="F1F5F9"/>
            <w:tcMar>
              <w:top w:w="80" w:type="dxa"/>
              <w:bottom w:w="80" w:type="dxa"/>
              <w:left w:w="100" w:type="dxa"/>
              <w:right w:w="100" w:type="dxa"/>
            </w:tcMar>
          </w:tcPr>
          <w:p>
            <w:pPr>
              <w:spacing w:after="0"/>
            </w:pPr>
            <w:r>
              <w:rPr>
                <w:rFonts w:ascii="Calibri" w:hAnsi="Calibri"/>
                <w:b/>
                <w:color w:val="1B365D"/>
                <w:sz w:val="18"/>
              </w:rPr>
              <w:t>Project Portfolio</w:t>
            </w:r>
          </w:p>
        </w:tc>
        <w:tc>
          <w:tcPr>
            <w:tcW w:type="dxa" w:w="2340"/>
            <w:shd w:fill="F1F5F9"/>
            <w:tcMar>
              <w:top w:w="80" w:type="dxa"/>
              <w:bottom w:w="80" w:type="dxa"/>
              <w:left w:w="100" w:type="dxa"/>
              <w:right w:w="100" w:type="dxa"/>
            </w:tcMar>
          </w:tcPr>
          <w:p>
            <w:pPr>
              <w:spacing w:after="0"/>
            </w:pPr>
            <w:r>
              <w:rPr>
                <w:rFonts w:ascii="Calibri" w:hAnsi="Calibri"/>
                <w:b/>
                <w:color w:val="1B365D"/>
                <w:sz w:val="18"/>
              </w:rPr>
              <w:t>Dataset Scope</w:t>
            </w:r>
          </w:p>
        </w:tc>
        <w:tc>
          <w:tcPr>
            <w:tcW w:type="dxa" w:w="2340"/>
            <w:shd w:fill="F1F5F9"/>
            <w:tcMar>
              <w:top w:w="80" w:type="dxa"/>
              <w:bottom w:w="80" w:type="dxa"/>
              <w:left w:w="100" w:type="dxa"/>
              <w:right w:w="100" w:type="dxa"/>
            </w:tcMar>
          </w:tcPr>
          <w:p>
            <w:pPr>
              <w:spacing w:after="0"/>
            </w:pPr>
            <w:r>
              <w:rPr>
                <w:rFonts w:ascii="Calibri" w:hAnsi="Calibri"/>
                <w:b/>
                <w:color w:val="1B365D"/>
                <w:sz w:val="18"/>
              </w:rPr>
              <w:t>Target Architecture</w:t>
            </w:r>
          </w:p>
        </w:tc>
      </w:tr>
      <w:tr>
        <w:tc>
          <w:tcPr>
            <w:tcW w:type="dxa" w:w="2340"/>
            <w:tcMar>
              <w:top w:w="80" w:type="dxa"/>
              <w:bottom w:w="80" w:type="dxa"/>
              <w:left w:w="100" w:type="dxa"/>
              <w:right w:w="100" w:type="dxa"/>
            </w:tcMar>
          </w:tcPr>
          <w:p>
            <w:pPr>
              <w:spacing w:after="0"/>
            </w:pPr>
            <w:r>
              <w:rPr>
                <w:rFonts w:ascii="Calibri" w:hAnsi="Calibri"/>
                <w:color w:val="334155"/>
                <w:sz w:val="17"/>
              </w:rPr>
              <w:t>Senior Virtual Construction BI Engineer</w:t>
            </w:r>
          </w:p>
        </w:tc>
        <w:tc>
          <w:tcPr>
            <w:tcW w:type="dxa" w:w="2340"/>
            <w:tcMar>
              <w:top w:w="80" w:type="dxa"/>
              <w:bottom w:w="80" w:type="dxa"/>
              <w:left w:w="100" w:type="dxa"/>
              <w:right w:w="100" w:type="dxa"/>
            </w:tcMar>
          </w:tcPr>
          <w:p>
            <w:pPr>
              <w:spacing w:after="0"/>
            </w:pPr>
            <w:r>
              <w:rPr>
                <w:rFonts w:ascii="Calibri" w:hAnsi="Calibri"/>
                <w:color w:val="334155"/>
                <w:sz w:val="17"/>
              </w:rPr>
              <w:t>8 Enterprise Sites (IDs: 1328-1345)</w:t>
            </w:r>
          </w:p>
        </w:tc>
        <w:tc>
          <w:tcPr>
            <w:tcW w:type="dxa" w:w="2340"/>
            <w:tcMar>
              <w:top w:w="80" w:type="dxa"/>
              <w:bottom w:w="80" w:type="dxa"/>
              <w:left w:w="100" w:type="dxa"/>
              <w:right w:w="100" w:type="dxa"/>
            </w:tcMar>
          </w:tcPr>
          <w:p>
            <w:pPr>
              <w:spacing w:after="0"/>
            </w:pPr>
            <w:r>
              <w:rPr>
                <w:rFonts w:ascii="Calibri" w:hAnsi="Calibri"/>
                <w:color w:val="334155"/>
                <w:sz w:val="17"/>
              </w:rPr>
              <w:t>22,678 Records (Tasks &amp; Forms)</w:t>
            </w:r>
          </w:p>
        </w:tc>
        <w:tc>
          <w:tcPr>
            <w:tcW w:type="dxa" w:w="2340"/>
            <w:tcMar>
              <w:top w:w="80" w:type="dxa"/>
              <w:bottom w:w="80" w:type="dxa"/>
              <w:left w:w="100" w:type="dxa"/>
              <w:right w:w="100" w:type="dxa"/>
            </w:tcMar>
          </w:tcPr>
          <w:p>
            <w:pPr>
              <w:spacing w:after="0"/>
            </w:pPr>
            <w:r>
              <w:rPr>
                <w:rFonts w:ascii="Calibri" w:hAnsi="Calibri"/>
                <w:color w:val="334155"/>
                <w:sz w:val="17"/>
              </w:rPr>
              <w:t>Power BI Star Schema Model</w:t>
            </w:r>
          </w:p>
        </w:tc>
      </w:tr>
    </w:tbl>
    <w:p>
      <w:pPr>
        <w:spacing w:after="200"/>
      </w:pPr>
    </w:p>
    <w:p>
      <w:pPr>
        <w:keepNext/>
        <w:spacing w:before="360" w:after="120"/>
      </w:pPr>
      <w:r>
        <w:rPr>
          <w:rFonts w:ascii="Calibri" w:hAnsi="Calibri"/>
          <w:b/>
          <w:color w:val="1B365D"/>
          <w:sz w:val="30"/>
        </w:rPr>
        <w:t>Section 1: Executive Summary &amp; Data Sourcing Framework</w:t>
      </w:r>
    </w:p>
    <w:p>
      <w:pPr>
        <w:keepNext/>
        <w:spacing w:before="240" w:after="80"/>
      </w:pPr>
      <w:r>
        <w:rPr>
          <w:rFonts w:ascii="Calibri" w:hAnsi="Calibri"/>
          <w:b/>
          <w:color w:val="2C3E50"/>
          <w:sz w:val="24"/>
        </w:rPr>
        <w:t>1.1 Business Context &amp; VDC Operational Intelligence</w:t>
      </w:r>
    </w:p>
    <w:p>
      <w:pPr>
        <w:spacing w:before="0" w:after="120" w:line="276" w:lineRule="auto"/>
      </w:pPr>
      <w:r>
        <w:rPr>
          <w:rFonts w:ascii="Calibri" w:hAnsi="Calibri"/>
          <w:color w:val="334155"/>
          <w:sz w:val="20"/>
        </w:rPr>
        <w:t>In modern multi-site commercial construction, effective Project Management (PM) and Virtual Design &amp; Construction (VDC) operations depend on real-time visibility across field safety compliance, quality non-conformances (NCRs), subcontractor task velocity, and daily statutory site documentation. Across enterprise construction portfolios, site teams log thousands of operational records daily via mobile field management software. However, raw extracts from these platforms frequently suffer from severe data quality degradation, including unstandardized schemas, non-ISO timestamp formats, legacy Excel serial representations, categorical missingness, and untracked task resolution cycles.</w:t>
      </w:r>
    </w:p>
    <w:p>
      <w:pPr>
        <w:spacing w:before="0" w:after="120" w:line="276" w:lineRule="auto"/>
      </w:pPr>
      <w:r>
        <w:rPr>
          <w:rFonts w:ascii="Calibri" w:hAnsi="Calibri"/>
          <w:color w:val="334155"/>
          <w:sz w:val="20"/>
        </w:rPr>
        <w:t>This project establishes a production-grade automated Extract, Transform, and Load (ETL) pipeline and enterprise analytical data model. The objective is to convert fragmented operational field logs into clean, standardized, and business-metric-enriched datasets engineered for direct, zero-manual-effort ingestion into Microsoft Power BI.</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sz="0" w:space="0" w:color="auto"/>
              <w:bottom w:val="none" w:sz="0" w:space="0" w:color="auto"/>
              <w:left w:val="single" w:sz="24" w:space="0" w:color="1B365D"/>
              <w:right w:val="none" w:sz="0" w:space="0" w:color="auto"/>
            </w:tcBorders>
          </w:tcPr>
          <w:p>
            <w:pPr>
              <w:spacing w:before="40" w:after="40" w:line="276" w:lineRule="auto"/>
            </w:pPr>
            <w:r>
              <w:rPr>
                <w:rFonts w:ascii="Calibri" w:hAnsi="Calibri"/>
                <w:b/>
                <w:color w:val="1B365D"/>
                <w:sz w:val="21"/>
              </w:rPr>
              <w:t>📌 Executive Summary Milestone</w:t>
              <w:br/>
            </w:r>
            <w:r>
              <w:rPr>
                <w:rFonts w:ascii="Calibri" w:hAnsi="Calibri"/>
                <w:color w:val="2C3E50"/>
                <w:sz w:val="19"/>
              </w:rPr>
              <w:t>Successfully transformed 22,678 total construction records (12,424 Tasks and 10,254 Forms) across 8 enterprise project IDs (1328–1345). Achieved 100% schema alignment, zero unhandled nulls, standardized ISO 8601 temporal hierarchies, and engineered core operational KPIs (Resolution Cycle Days, Overdue Flags, Resolved Action Counts, and Action Closure Rates).</w:t>
            </w:r>
          </w:p>
        </w:tc>
      </w:tr>
    </w:tbl>
    <w:p>
      <w:pPr>
        <w:spacing w:after="80"/>
      </w:pPr>
    </w:p>
    <w:p>
      <w:pPr>
        <w:keepNext/>
        <w:spacing w:before="240" w:after="80"/>
      </w:pPr>
      <w:r>
        <w:rPr>
          <w:rFonts w:ascii="Calibri" w:hAnsi="Calibri"/>
          <w:b/>
          <w:color w:val="2C3E50"/>
          <w:sz w:val="24"/>
        </w:rPr>
        <w:t>1.2 Enterprise Data Sourcing Architecture</w:t>
      </w:r>
    </w:p>
    <w:p>
      <w:pPr>
        <w:spacing w:before="0" w:after="120" w:line="276" w:lineRule="auto"/>
      </w:pPr>
      <w:r>
        <w:rPr>
          <w:rFonts w:ascii="Calibri" w:hAnsi="Calibri"/>
          <w:color w:val="334155"/>
          <w:sz w:val="20"/>
        </w:rPr>
        <w:t>The upstream data architecture captures two primary transactional facets of virtual construction and on-site field execution:</w:t>
      </w:r>
    </w:p>
    <w:p>
      <w:pPr>
        <w:pStyle w:val="ListBullet"/>
        <w:spacing w:before="0" w:after="60" w:line="276" w:lineRule="auto"/>
      </w:pPr>
      <w:r>
        <w:rPr>
          <w:rFonts w:ascii="Calibri" w:hAnsi="Calibri"/>
          <w:b/>
          <w:color w:val="1E293B"/>
          <w:sz w:val="20"/>
        </w:rPr>
        <w:t xml:space="preserve">1. Field PM Tasks (Construction_Data_PM_Tasks_All_Projects.csv): </w:t>
      </w:r>
      <w:r>
        <w:rPr>
          <w:rFonts w:ascii="Calibri" w:hAnsi="Calibri"/>
          <w:color w:val="334155"/>
          <w:sz w:val="20"/>
        </w:rPr>
        <w:t>Captures 12,424 granular snagging items, safety hazard notices (Amber/Red), environmental observations, and quality control snags. Key attributes include issue hierarchy (Location, Description, Type, Task Group), accountability assignments (To Package / Subcontractor), and workflow progression timestamps (Created, Target Due Date, Status Changed).</w:t>
      </w:r>
    </w:p>
    <w:p>
      <w:pPr>
        <w:pStyle w:val="ListBullet"/>
        <w:spacing w:before="0" w:after="60" w:line="276" w:lineRule="auto"/>
      </w:pPr>
      <w:r>
        <w:rPr>
          <w:rFonts w:ascii="Calibri" w:hAnsi="Calibri"/>
          <w:b/>
          <w:color w:val="1E293B"/>
          <w:sz w:val="20"/>
        </w:rPr>
        <w:t xml:space="preserve">2. Field PM Forms (Construction_Data_PM_Forms_All_Projects.csv): </w:t>
      </w:r>
      <w:r>
        <w:rPr>
          <w:rFonts w:ascii="Calibri" w:hAnsi="Calibri"/>
          <w:color w:val="334155"/>
          <w:sz w:val="20"/>
        </w:rPr>
        <w:t>Captures 10,254 formal project records including Daily Site Diaries, Subcontractor Work Plans, Permit to Work (PTW) logs, and statutory EHS inspection audits. Key attributes include form governance (Location, Name, Type, Report Group), execution dates (Created, Status Changed), and action resolution tracking (Open Actions, Total Actions, Document/Image attachments).</w:t>
      </w:r>
    </w:p>
    <w:p>
      <w:pPr>
        <w:keepNext/>
        <w:spacing w:before="240" w:after="80"/>
      </w:pPr>
      <w:r>
        <w:rPr>
          <w:rFonts w:ascii="Calibri" w:hAnsi="Calibri"/>
          <w:b/>
          <w:color w:val="2C3E50"/>
          <w:sz w:val="24"/>
        </w:rPr>
        <w:t>1.3 Portfolio Sourcing &amp; Scope Baseline</w:t>
      </w:r>
    </w:p>
    <w:p>
      <w:pPr>
        <w:spacing w:before="0" w:after="120" w:line="276" w:lineRule="auto"/>
      </w:pPr>
      <w:r>
        <w:rPr>
          <w:rFonts w:ascii="Calibri" w:hAnsi="Calibri"/>
          <w:color w:val="334155"/>
          <w:sz w:val="20"/>
        </w:rPr>
        <w:t>Both source datasets represent 8 concurrent enterprise projects operating under a unified project management taxonomy. The distribution of records across projects is summarized in Table 1 below:</w:t>
      </w:r>
    </w:p>
    <w:tbl>
      <w:tblPr>
        <w:tblW w:type="auto" w:w="0"/>
        <w:jc w:val="center"/>
        <w:tblLook w:firstColumn="1" w:firstRow="1" w:lastColumn="0" w:lastRow="0" w:noHBand="0" w:noVBand="1" w:val="04A0"/>
        <w:tblBorders>
          <w:top w:val="single" w:sz="4" w:space="0" w:color="CBD5E1"/>
          <w:bottom w:val="single" w:sz="4" w:space="0" w:color="CBD5E1"/>
          <w:left w:val="none" w:sz="0" w:space="0" w:color="auto"/>
          <w:right w:val="none" w:sz="0" w:space="0" w:color="auto"/>
          <w:insideH w:val="single" w:sz="4" w:space="0" w:color="CBD5E1"/>
          <w:insideV w:val="none" w:sz="0" w:space="0" w:color="auto"/>
        </w:tblBorders>
      </w:tblPr>
      <w:tblGrid>
        <w:gridCol w:w="1872"/>
        <w:gridCol w:w="1872"/>
        <w:gridCol w:w="1872"/>
        <w:gridCol w:w="1872"/>
        <w:gridCol w:w="1872"/>
      </w:tblGrid>
      <w:tr>
        <w:tc>
          <w:tcPr>
            <w:tcW w:type="dxa" w:w="1872"/>
            <w:shd w:fill="1B365D"/>
            <w:tcMar>
              <w:top w:w="100" w:type="dxa"/>
              <w:bottom w:w="100" w:type="dxa"/>
              <w:left w:w="120" w:type="dxa"/>
              <w:right w:w="120" w:type="dxa"/>
            </w:tcMar>
          </w:tcPr>
          <w:p>
            <w:r>
              <w:rPr>
                <w:rFonts w:ascii="Calibri" w:hAnsi="Calibri"/>
                <w:b/>
                <w:color w:val="FFFFFF"/>
                <w:sz w:val="18"/>
              </w:rPr>
              <w:t>Project ID</w:t>
            </w:r>
          </w:p>
        </w:tc>
        <w:tc>
          <w:tcPr>
            <w:tcW w:type="dxa" w:w="1872"/>
            <w:shd w:fill="1B365D"/>
            <w:tcMar>
              <w:top w:w="100" w:type="dxa"/>
              <w:bottom w:w="100" w:type="dxa"/>
              <w:left w:w="120" w:type="dxa"/>
              <w:right w:w="120" w:type="dxa"/>
            </w:tcMar>
          </w:tcPr>
          <w:p>
            <w:r>
              <w:rPr>
                <w:rFonts w:ascii="Calibri" w:hAnsi="Calibri"/>
                <w:b/>
                <w:color w:val="FFFFFF"/>
                <w:sz w:val="18"/>
              </w:rPr>
              <w:t>Task Count</w:t>
            </w:r>
          </w:p>
        </w:tc>
        <w:tc>
          <w:tcPr>
            <w:tcW w:type="dxa" w:w="1872"/>
            <w:shd w:fill="1B365D"/>
            <w:tcMar>
              <w:top w:w="100" w:type="dxa"/>
              <w:bottom w:w="100" w:type="dxa"/>
              <w:left w:w="120" w:type="dxa"/>
              <w:right w:w="120" w:type="dxa"/>
            </w:tcMar>
          </w:tcPr>
          <w:p>
            <w:r>
              <w:rPr>
                <w:rFonts w:ascii="Calibri" w:hAnsi="Calibri"/>
                <w:b/>
                <w:color w:val="FFFFFF"/>
                <w:sz w:val="18"/>
              </w:rPr>
              <w:t>Form Count</w:t>
            </w:r>
          </w:p>
        </w:tc>
        <w:tc>
          <w:tcPr>
            <w:tcW w:type="dxa" w:w="1872"/>
            <w:shd w:fill="1B365D"/>
            <w:tcMar>
              <w:top w:w="100" w:type="dxa"/>
              <w:bottom w:w="100" w:type="dxa"/>
              <w:left w:w="120" w:type="dxa"/>
              <w:right w:w="120" w:type="dxa"/>
            </w:tcMar>
          </w:tcPr>
          <w:p>
            <w:r>
              <w:rPr>
                <w:rFonts w:ascii="Calibri" w:hAnsi="Calibri"/>
                <w:b/>
                <w:color w:val="FFFFFF"/>
                <w:sz w:val="18"/>
              </w:rPr>
              <w:t>Combined Records</w:t>
            </w:r>
          </w:p>
        </w:tc>
        <w:tc>
          <w:tcPr>
            <w:tcW w:type="dxa" w:w="1872"/>
            <w:shd w:fill="1B365D"/>
            <w:tcMar>
              <w:top w:w="100" w:type="dxa"/>
              <w:bottom w:w="100" w:type="dxa"/>
              <w:left w:w="120" w:type="dxa"/>
              <w:right w:w="120" w:type="dxa"/>
            </w:tcMar>
          </w:tcPr>
          <w:p>
            <w:r>
              <w:rPr>
                <w:rFonts w:ascii="Calibri" w:hAnsi="Calibri"/>
                <w:b/>
                <w:color w:val="FFFFFF"/>
                <w:sz w:val="18"/>
              </w:rPr>
              <w:t>Portfolio Share (%)</w:t>
            </w:r>
          </w:p>
        </w:tc>
      </w:tr>
      <w:tr>
        <w:tc>
          <w:tcPr>
            <w:tcW w:type="dxa" w:w="1872"/>
            <w:shd w:fill="F8FAFC"/>
            <w:tcMar>
              <w:top w:w="70" w:type="dxa"/>
              <w:bottom w:w="70" w:type="dxa"/>
              <w:left w:w="100" w:type="dxa"/>
              <w:right w:w="100" w:type="dxa"/>
            </w:tcMar>
          </w:tcPr>
          <w:p>
            <w:pPr>
              <w:spacing w:after="0"/>
            </w:pPr>
            <w:r>
              <w:rPr>
                <w:rFonts w:ascii="Calibri" w:hAnsi="Calibri"/>
                <w:color w:val="334155"/>
                <w:sz w:val="17"/>
              </w:rPr>
              <w:t>Project 1328</w:t>
            </w:r>
          </w:p>
        </w:tc>
        <w:tc>
          <w:tcPr>
            <w:tcW w:type="dxa" w:w="1872"/>
            <w:shd w:fill="F8FAFC"/>
            <w:tcMar>
              <w:top w:w="70" w:type="dxa"/>
              <w:bottom w:w="70" w:type="dxa"/>
              <w:left w:w="100" w:type="dxa"/>
              <w:right w:w="100" w:type="dxa"/>
            </w:tcMar>
          </w:tcPr>
          <w:p>
            <w:pPr>
              <w:spacing w:after="0"/>
            </w:pPr>
            <w:r>
              <w:rPr>
                <w:rFonts w:ascii="Calibri" w:hAnsi="Calibri"/>
                <w:color w:val="334155"/>
                <w:sz w:val="17"/>
              </w:rPr>
              <w:t>3,751</w:t>
            </w:r>
          </w:p>
        </w:tc>
        <w:tc>
          <w:tcPr>
            <w:tcW w:type="dxa" w:w="1872"/>
            <w:shd w:fill="F8FAFC"/>
            <w:tcMar>
              <w:top w:w="70" w:type="dxa"/>
              <w:bottom w:w="70" w:type="dxa"/>
              <w:left w:w="100" w:type="dxa"/>
              <w:right w:w="100" w:type="dxa"/>
            </w:tcMar>
          </w:tcPr>
          <w:p>
            <w:pPr>
              <w:spacing w:after="0"/>
            </w:pPr>
            <w:r>
              <w:rPr>
                <w:rFonts w:ascii="Calibri" w:hAnsi="Calibri"/>
                <w:color w:val="334155"/>
                <w:sz w:val="17"/>
              </w:rPr>
              <w:t>4,043</w:t>
            </w:r>
          </w:p>
        </w:tc>
        <w:tc>
          <w:tcPr>
            <w:tcW w:type="dxa" w:w="1872"/>
            <w:shd w:fill="F8FAFC"/>
            <w:tcMar>
              <w:top w:w="70" w:type="dxa"/>
              <w:bottom w:w="70" w:type="dxa"/>
              <w:left w:w="100" w:type="dxa"/>
              <w:right w:w="100" w:type="dxa"/>
            </w:tcMar>
          </w:tcPr>
          <w:p>
            <w:pPr>
              <w:spacing w:after="0"/>
            </w:pPr>
            <w:r>
              <w:rPr>
                <w:rFonts w:ascii="Calibri" w:hAnsi="Calibri"/>
                <w:color w:val="334155"/>
                <w:sz w:val="17"/>
              </w:rPr>
              <w:t>7,794</w:t>
            </w:r>
          </w:p>
        </w:tc>
        <w:tc>
          <w:tcPr>
            <w:tcW w:type="dxa" w:w="1872"/>
            <w:shd w:fill="F8FAFC"/>
            <w:tcMar>
              <w:top w:w="70" w:type="dxa"/>
              <w:bottom w:w="70" w:type="dxa"/>
              <w:left w:w="100" w:type="dxa"/>
              <w:right w:w="100" w:type="dxa"/>
            </w:tcMar>
          </w:tcPr>
          <w:p>
            <w:pPr>
              <w:spacing w:after="0"/>
            </w:pPr>
            <w:r>
              <w:rPr>
                <w:rFonts w:ascii="Calibri" w:hAnsi="Calibri"/>
                <w:color w:val="334155"/>
                <w:sz w:val="17"/>
              </w:rPr>
              <w:t>34.37%</w:t>
            </w:r>
          </w:p>
        </w:tc>
      </w:tr>
      <w:tr>
        <w:tc>
          <w:tcPr>
            <w:tcW w:type="dxa" w:w="1872"/>
            <w:shd w:fill="FFFFFF"/>
            <w:tcMar>
              <w:top w:w="70" w:type="dxa"/>
              <w:bottom w:w="70" w:type="dxa"/>
              <w:left w:w="100" w:type="dxa"/>
              <w:right w:w="100" w:type="dxa"/>
            </w:tcMar>
          </w:tcPr>
          <w:p>
            <w:pPr>
              <w:spacing w:after="0"/>
            </w:pPr>
            <w:r>
              <w:rPr>
                <w:rFonts w:ascii="Calibri" w:hAnsi="Calibri"/>
                <w:color w:val="334155"/>
                <w:sz w:val="17"/>
              </w:rPr>
              <w:t>Project 1330</w:t>
            </w:r>
          </w:p>
        </w:tc>
        <w:tc>
          <w:tcPr>
            <w:tcW w:type="dxa" w:w="1872"/>
            <w:shd w:fill="FFFFFF"/>
            <w:tcMar>
              <w:top w:w="70" w:type="dxa"/>
              <w:bottom w:w="70" w:type="dxa"/>
              <w:left w:w="100" w:type="dxa"/>
              <w:right w:w="100" w:type="dxa"/>
            </w:tcMar>
          </w:tcPr>
          <w:p>
            <w:pPr>
              <w:spacing w:after="0"/>
            </w:pPr>
            <w:r>
              <w:rPr>
                <w:rFonts w:ascii="Calibri" w:hAnsi="Calibri"/>
                <w:color w:val="334155"/>
                <w:sz w:val="17"/>
              </w:rPr>
              <w:t>3,684</w:t>
            </w:r>
          </w:p>
        </w:tc>
        <w:tc>
          <w:tcPr>
            <w:tcW w:type="dxa" w:w="1872"/>
            <w:shd w:fill="FFFFFF"/>
            <w:tcMar>
              <w:top w:w="70" w:type="dxa"/>
              <w:bottom w:w="70" w:type="dxa"/>
              <w:left w:w="100" w:type="dxa"/>
              <w:right w:w="100" w:type="dxa"/>
            </w:tcMar>
          </w:tcPr>
          <w:p>
            <w:pPr>
              <w:spacing w:after="0"/>
            </w:pPr>
            <w:r>
              <w:rPr>
                <w:rFonts w:ascii="Calibri" w:hAnsi="Calibri"/>
                <w:color w:val="334155"/>
                <w:sz w:val="17"/>
              </w:rPr>
              <w:t>2,149</w:t>
            </w:r>
          </w:p>
        </w:tc>
        <w:tc>
          <w:tcPr>
            <w:tcW w:type="dxa" w:w="1872"/>
            <w:shd w:fill="FFFFFF"/>
            <w:tcMar>
              <w:top w:w="70" w:type="dxa"/>
              <w:bottom w:w="70" w:type="dxa"/>
              <w:left w:w="100" w:type="dxa"/>
              <w:right w:w="100" w:type="dxa"/>
            </w:tcMar>
          </w:tcPr>
          <w:p>
            <w:pPr>
              <w:spacing w:after="0"/>
            </w:pPr>
            <w:r>
              <w:rPr>
                <w:rFonts w:ascii="Calibri" w:hAnsi="Calibri"/>
                <w:color w:val="334155"/>
                <w:sz w:val="17"/>
              </w:rPr>
              <w:t>5,833</w:t>
            </w:r>
          </w:p>
        </w:tc>
        <w:tc>
          <w:tcPr>
            <w:tcW w:type="dxa" w:w="1872"/>
            <w:shd w:fill="FFFFFF"/>
            <w:tcMar>
              <w:top w:w="70" w:type="dxa"/>
              <w:bottom w:w="70" w:type="dxa"/>
              <w:left w:w="100" w:type="dxa"/>
              <w:right w:w="100" w:type="dxa"/>
            </w:tcMar>
          </w:tcPr>
          <w:p>
            <w:pPr>
              <w:spacing w:after="0"/>
            </w:pPr>
            <w:r>
              <w:rPr>
                <w:rFonts w:ascii="Calibri" w:hAnsi="Calibri"/>
                <w:color w:val="334155"/>
                <w:sz w:val="17"/>
              </w:rPr>
              <w:t>25.72%</w:t>
            </w:r>
          </w:p>
        </w:tc>
      </w:tr>
      <w:tr>
        <w:tc>
          <w:tcPr>
            <w:tcW w:type="dxa" w:w="1872"/>
            <w:shd w:fill="F8FAFC"/>
            <w:tcMar>
              <w:top w:w="70" w:type="dxa"/>
              <w:bottom w:w="70" w:type="dxa"/>
              <w:left w:w="100" w:type="dxa"/>
              <w:right w:w="100" w:type="dxa"/>
            </w:tcMar>
          </w:tcPr>
          <w:p>
            <w:pPr>
              <w:spacing w:after="0"/>
            </w:pPr>
            <w:r>
              <w:rPr>
                <w:rFonts w:ascii="Calibri" w:hAnsi="Calibri"/>
                <w:color w:val="334155"/>
                <w:sz w:val="17"/>
              </w:rPr>
              <w:t>Project 1338</w:t>
            </w:r>
          </w:p>
        </w:tc>
        <w:tc>
          <w:tcPr>
            <w:tcW w:type="dxa" w:w="1872"/>
            <w:shd w:fill="F8FAFC"/>
            <w:tcMar>
              <w:top w:w="70" w:type="dxa"/>
              <w:bottom w:w="70" w:type="dxa"/>
              <w:left w:w="100" w:type="dxa"/>
              <w:right w:w="100" w:type="dxa"/>
            </w:tcMar>
          </w:tcPr>
          <w:p>
            <w:pPr>
              <w:spacing w:after="0"/>
            </w:pPr>
            <w:r>
              <w:rPr>
                <w:rFonts w:ascii="Calibri" w:hAnsi="Calibri"/>
                <w:color w:val="334155"/>
                <w:sz w:val="17"/>
              </w:rPr>
              <w:t>1,308</w:t>
            </w:r>
          </w:p>
        </w:tc>
        <w:tc>
          <w:tcPr>
            <w:tcW w:type="dxa" w:w="1872"/>
            <w:shd w:fill="F8FAFC"/>
            <w:tcMar>
              <w:top w:w="70" w:type="dxa"/>
              <w:bottom w:w="70" w:type="dxa"/>
              <w:left w:w="100" w:type="dxa"/>
              <w:right w:w="100" w:type="dxa"/>
            </w:tcMar>
          </w:tcPr>
          <w:p>
            <w:pPr>
              <w:spacing w:after="0"/>
            </w:pPr>
            <w:r>
              <w:rPr>
                <w:rFonts w:ascii="Calibri" w:hAnsi="Calibri"/>
                <w:color w:val="334155"/>
                <w:sz w:val="17"/>
              </w:rPr>
              <w:t>510</w:t>
            </w:r>
          </w:p>
        </w:tc>
        <w:tc>
          <w:tcPr>
            <w:tcW w:type="dxa" w:w="1872"/>
            <w:shd w:fill="F8FAFC"/>
            <w:tcMar>
              <w:top w:w="70" w:type="dxa"/>
              <w:bottom w:w="70" w:type="dxa"/>
              <w:left w:w="100" w:type="dxa"/>
              <w:right w:w="100" w:type="dxa"/>
            </w:tcMar>
          </w:tcPr>
          <w:p>
            <w:pPr>
              <w:spacing w:after="0"/>
            </w:pPr>
            <w:r>
              <w:rPr>
                <w:rFonts w:ascii="Calibri" w:hAnsi="Calibri"/>
                <w:color w:val="334155"/>
                <w:sz w:val="17"/>
              </w:rPr>
              <w:t>1,818</w:t>
            </w:r>
          </w:p>
        </w:tc>
        <w:tc>
          <w:tcPr>
            <w:tcW w:type="dxa" w:w="1872"/>
            <w:shd w:fill="F8FAFC"/>
            <w:tcMar>
              <w:top w:w="70" w:type="dxa"/>
              <w:bottom w:w="70" w:type="dxa"/>
              <w:left w:w="100" w:type="dxa"/>
              <w:right w:w="100" w:type="dxa"/>
            </w:tcMar>
          </w:tcPr>
          <w:p>
            <w:pPr>
              <w:spacing w:after="0"/>
            </w:pPr>
            <w:r>
              <w:rPr>
                <w:rFonts w:ascii="Calibri" w:hAnsi="Calibri"/>
                <w:color w:val="334155"/>
                <w:sz w:val="17"/>
              </w:rPr>
              <w:t>8.02%</w:t>
            </w:r>
          </w:p>
        </w:tc>
      </w:tr>
      <w:tr>
        <w:tc>
          <w:tcPr>
            <w:tcW w:type="dxa" w:w="1872"/>
            <w:shd w:fill="FFFFFF"/>
            <w:tcMar>
              <w:top w:w="70" w:type="dxa"/>
              <w:bottom w:w="70" w:type="dxa"/>
              <w:left w:w="100" w:type="dxa"/>
              <w:right w:w="100" w:type="dxa"/>
            </w:tcMar>
          </w:tcPr>
          <w:p>
            <w:pPr>
              <w:spacing w:after="0"/>
            </w:pPr>
            <w:r>
              <w:rPr>
                <w:rFonts w:ascii="Calibri" w:hAnsi="Calibri"/>
                <w:color w:val="334155"/>
                <w:sz w:val="17"/>
              </w:rPr>
              <w:t>Project 1335</w:t>
            </w:r>
          </w:p>
        </w:tc>
        <w:tc>
          <w:tcPr>
            <w:tcW w:type="dxa" w:w="1872"/>
            <w:shd w:fill="FFFFFF"/>
            <w:tcMar>
              <w:top w:w="70" w:type="dxa"/>
              <w:bottom w:w="70" w:type="dxa"/>
              <w:left w:w="100" w:type="dxa"/>
              <w:right w:w="100" w:type="dxa"/>
            </w:tcMar>
          </w:tcPr>
          <w:p>
            <w:pPr>
              <w:spacing w:after="0"/>
            </w:pPr>
            <w:r>
              <w:rPr>
                <w:rFonts w:ascii="Calibri" w:hAnsi="Calibri"/>
                <w:color w:val="334155"/>
                <w:sz w:val="17"/>
              </w:rPr>
              <w:t>1,267</w:t>
            </w:r>
          </w:p>
        </w:tc>
        <w:tc>
          <w:tcPr>
            <w:tcW w:type="dxa" w:w="1872"/>
            <w:shd w:fill="FFFFFF"/>
            <w:tcMar>
              <w:top w:w="70" w:type="dxa"/>
              <w:bottom w:w="70" w:type="dxa"/>
              <w:left w:w="100" w:type="dxa"/>
              <w:right w:w="100" w:type="dxa"/>
            </w:tcMar>
          </w:tcPr>
          <w:p>
            <w:pPr>
              <w:spacing w:after="0"/>
            </w:pPr>
            <w:r>
              <w:rPr>
                <w:rFonts w:ascii="Calibri" w:hAnsi="Calibri"/>
                <w:color w:val="334155"/>
                <w:sz w:val="17"/>
              </w:rPr>
              <w:t>804</w:t>
            </w:r>
          </w:p>
        </w:tc>
        <w:tc>
          <w:tcPr>
            <w:tcW w:type="dxa" w:w="1872"/>
            <w:shd w:fill="FFFFFF"/>
            <w:tcMar>
              <w:top w:w="70" w:type="dxa"/>
              <w:bottom w:w="70" w:type="dxa"/>
              <w:left w:w="100" w:type="dxa"/>
              <w:right w:w="100" w:type="dxa"/>
            </w:tcMar>
          </w:tcPr>
          <w:p>
            <w:pPr>
              <w:spacing w:after="0"/>
            </w:pPr>
            <w:r>
              <w:rPr>
                <w:rFonts w:ascii="Calibri" w:hAnsi="Calibri"/>
                <w:color w:val="334155"/>
                <w:sz w:val="17"/>
              </w:rPr>
              <w:t>2,071</w:t>
            </w:r>
          </w:p>
        </w:tc>
        <w:tc>
          <w:tcPr>
            <w:tcW w:type="dxa" w:w="1872"/>
            <w:shd w:fill="FFFFFF"/>
            <w:tcMar>
              <w:top w:w="70" w:type="dxa"/>
              <w:bottom w:w="70" w:type="dxa"/>
              <w:left w:w="100" w:type="dxa"/>
              <w:right w:w="100" w:type="dxa"/>
            </w:tcMar>
          </w:tcPr>
          <w:p>
            <w:pPr>
              <w:spacing w:after="0"/>
            </w:pPr>
            <w:r>
              <w:rPr>
                <w:rFonts w:ascii="Calibri" w:hAnsi="Calibri"/>
                <w:color w:val="334155"/>
                <w:sz w:val="17"/>
              </w:rPr>
              <w:t>9.13%</w:t>
            </w:r>
          </w:p>
        </w:tc>
      </w:tr>
      <w:tr>
        <w:tc>
          <w:tcPr>
            <w:tcW w:type="dxa" w:w="1872"/>
            <w:shd w:fill="F8FAFC"/>
            <w:tcMar>
              <w:top w:w="70" w:type="dxa"/>
              <w:bottom w:w="70" w:type="dxa"/>
              <w:left w:w="100" w:type="dxa"/>
              <w:right w:w="100" w:type="dxa"/>
            </w:tcMar>
          </w:tcPr>
          <w:p>
            <w:pPr>
              <w:spacing w:after="0"/>
            </w:pPr>
            <w:r>
              <w:rPr>
                <w:rFonts w:ascii="Calibri" w:hAnsi="Calibri"/>
                <w:color w:val="334155"/>
                <w:sz w:val="17"/>
              </w:rPr>
              <w:t>Project 1340</w:t>
            </w:r>
          </w:p>
        </w:tc>
        <w:tc>
          <w:tcPr>
            <w:tcW w:type="dxa" w:w="1872"/>
            <w:shd w:fill="F8FAFC"/>
            <w:tcMar>
              <w:top w:w="70" w:type="dxa"/>
              <w:bottom w:w="70" w:type="dxa"/>
              <w:left w:w="100" w:type="dxa"/>
              <w:right w:w="100" w:type="dxa"/>
            </w:tcMar>
          </w:tcPr>
          <w:p>
            <w:pPr>
              <w:spacing w:after="0"/>
            </w:pPr>
            <w:r>
              <w:rPr>
                <w:rFonts w:ascii="Calibri" w:hAnsi="Calibri"/>
                <w:color w:val="334155"/>
                <w:sz w:val="17"/>
              </w:rPr>
              <w:t>995</w:t>
            </w:r>
          </w:p>
        </w:tc>
        <w:tc>
          <w:tcPr>
            <w:tcW w:type="dxa" w:w="1872"/>
            <w:shd w:fill="F8FAFC"/>
            <w:tcMar>
              <w:top w:w="70" w:type="dxa"/>
              <w:bottom w:w="70" w:type="dxa"/>
              <w:left w:w="100" w:type="dxa"/>
              <w:right w:w="100" w:type="dxa"/>
            </w:tcMar>
          </w:tcPr>
          <w:p>
            <w:pPr>
              <w:spacing w:after="0"/>
            </w:pPr>
            <w:r>
              <w:rPr>
                <w:rFonts w:ascii="Calibri" w:hAnsi="Calibri"/>
                <w:color w:val="334155"/>
                <w:sz w:val="17"/>
              </w:rPr>
              <w:t>744</w:t>
            </w:r>
          </w:p>
        </w:tc>
        <w:tc>
          <w:tcPr>
            <w:tcW w:type="dxa" w:w="1872"/>
            <w:shd w:fill="F8FAFC"/>
            <w:tcMar>
              <w:top w:w="70" w:type="dxa"/>
              <w:bottom w:w="70" w:type="dxa"/>
              <w:left w:w="100" w:type="dxa"/>
              <w:right w:w="100" w:type="dxa"/>
            </w:tcMar>
          </w:tcPr>
          <w:p>
            <w:pPr>
              <w:spacing w:after="0"/>
            </w:pPr>
            <w:r>
              <w:rPr>
                <w:rFonts w:ascii="Calibri" w:hAnsi="Calibri"/>
                <w:color w:val="334155"/>
                <w:sz w:val="17"/>
              </w:rPr>
              <w:t>1,739</w:t>
            </w:r>
          </w:p>
        </w:tc>
        <w:tc>
          <w:tcPr>
            <w:tcW w:type="dxa" w:w="1872"/>
            <w:shd w:fill="F8FAFC"/>
            <w:tcMar>
              <w:top w:w="70" w:type="dxa"/>
              <w:bottom w:w="70" w:type="dxa"/>
              <w:left w:w="100" w:type="dxa"/>
              <w:right w:w="100" w:type="dxa"/>
            </w:tcMar>
          </w:tcPr>
          <w:p>
            <w:pPr>
              <w:spacing w:after="0"/>
            </w:pPr>
            <w:r>
              <w:rPr>
                <w:rFonts w:ascii="Calibri" w:hAnsi="Calibri"/>
                <w:color w:val="334155"/>
                <w:sz w:val="17"/>
              </w:rPr>
              <w:t>7.67%</w:t>
            </w:r>
          </w:p>
        </w:tc>
      </w:tr>
      <w:tr>
        <w:tc>
          <w:tcPr>
            <w:tcW w:type="dxa" w:w="1872"/>
            <w:shd w:fill="FFFFFF"/>
            <w:tcMar>
              <w:top w:w="70" w:type="dxa"/>
              <w:bottom w:w="70" w:type="dxa"/>
              <w:left w:w="100" w:type="dxa"/>
              <w:right w:w="100" w:type="dxa"/>
            </w:tcMar>
          </w:tcPr>
          <w:p>
            <w:pPr>
              <w:spacing w:after="0"/>
            </w:pPr>
            <w:r>
              <w:rPr>
                <w:rFonts w:ascii="Calibri" w:hAnsi="Calibri"/>
                <w:color w:val="334155"/>
                <w:sz w:val="17"/>
              </w:rPr>
              <w:t>Project 1329</w:t>
            </w:r>
          </w:p>
        </w:tc>
        <w:tc>
          <w:tcPr>
            <w:tcW w:type="dxa" w:w="1872"/>
            <w:shd w:fill="FFFFFF"/>
            <w:tcMar>
              <w:top w:w="70" w:type="dxa"/>
              <w:bottom w:w="70" w:type="dxa"/>
              <w:left w:w="100" w:type="dxa"/>
              <w:right w:w="100" w:type="dxa"/>
            </w:tcMar>
          </w:tcPr>
          <w:p>
            <w:pPr>
              <w:spacing w:after="0"/>
            </w:pPr>
            <w:r>
              <w:rPr>
                <w:rFonts w:ascii="Calibri" w:hAnsi="Calibri"/>
                <w:color w:val="334155"/>
                <w:sz w:val="17"/>
              </w:rPr>
              <w:t>478</w:t>
            </w:r>
          </w:p>
        </w:tc>
        <w:tc>
          <w:tcPr>
            <w:tcW w:type="dxa" w:w="1872"/>
            <w:shd w:fill="FFFFFF"/>
            <w:tcMar>
              <w:top w:w="70" w:type="dxa"/>
              <w:bottom w:w="70" w:type="dxa"/>
              <w:left w:w="100" w:type="dxa"/>
              <w:right w:w="100" w:type="dxa"/>
            </w:tcMar>
          </w:tcPr>
          <w:p>
            <w:pPr>
              <w:spacing w:after="0"/>
            </w:pPr>
            <w:r>
              <w:rPr>
                <w:rFonts w:ascii="Calibri" w:hAnsi="Calibri"/>
                <w:color w:val="334155"/>
                <w:sz w:val="17"/>
              </w:rPr>
              <w:t>1,212</w:t>
            </w:r>
          </w:p>
        </w:tc>
        <w:tc>
          <w:tcPr>
            <w:tcW w:type="dxa" w:w="1872"/>
            <w:shd w:fill="FFFFFF"/>
            <w:tcMar>
              <w:top w:w="70" w:type="dxa"/>
              <w:bottom w:w="70" w:type="dxa"/>
              <w:left w:w="100" w:type="dxa"/>
              <w:right w:w="100" w:type="dxa"/>
            </w:tcMar>
          </w:tcPr>
          <w:p>
            <w:pPr>
              <w:spacing w:after="0"/>
            </w:pPr>
            <w:r>
              <w:rPr>
                <w:rFonts w:ascii="Calibri" w:hAnsi="Calibri"/>
                <w:color w:val="334155"/>
                <w:sz w:val="17"/>
              </w:rPr>
              <w:t>1,690</w:t>
            </w:r>
          </w:p>
        </w:tc>
        <w:tc>
          <w:tcPr>
            <w:tcW w:type="dxa" w:w="1872"/>
            <w:shd w:fill="FFFFFF"/>
            <w:tcMar>
              <w:top w:w="70" w:type="dxa"/>
              <w:bottom w:w="70" w:type="dxa"/>
              <w:left w:w="100" w:type="dxa"/>
              <w:right w:w="100" w:type="dxa"/>
            </w:tcMar>
          </w:tcPr>
          <w:p>
            <w:pPr>
              <w:spacing w:after="0"/>
            </w:pPr>
            <w:r>
              <w:rPr>
                <w:rFonts w:ascii="Calibri" w:hAnsi="Calibri"/>
                <w:color w:val="334155"/>
                <w:sz w:val="17"/>
              </w:rPr>
              <w:t>7.45%</w:t>
            </w:r>
          </w:p>
        </w:tc>
      </w:tr>
      <w:tr>
        <w:tc>
          <w:tcPr>
            <w:tcW w:type="dxa" w:w="1872"/>
            <w:shd w:fill="F8FAFC"/>
            <w:tcMar>
              <w:top w:w="70" w:type="dxa"/>
              <w:bottom w:w="70" w:type="dxa"/>
              <w:left w:w="100" w:type="dxa"/>
              <w:right w:w="100" w:type="dxa"/>
            </w:tcMar>
          </w:tcPr>
          <w:p>
            <w:pPr>
              <w:spacing w:after="0"/>
            </w:pPr>
            <w:r>
              <w:rPr>
                <w:rFonts w:ascii="Calibri" w:hAnsi="Calibri"/>
                <w:color w:val="334155"/>
                <w:sz w:val="17"/>
              </w:rPr>
              <w:t>Project 1345</w:t>
            </w:r>
          </w:p>
        </w:tc>
        <w:tc>
          <w:tcPr>
            <w:tcW w:type="dxa" w:w="1872"/>
            <w:shd w:fill="F8FAFC"/>
            <w:tcMar>
              <w:top w:w="70" w:type="dxa"/>
              <w:bottom w:w="70" w:type="dxa"/>
              <w:left w:w="100" w:type="dxa"/>
              <w:right w:w="100" w:type="dxa"/>
            </w:tcMar>
          </w:tcPr>
          <w:p>
            <w:pPr>
              <w:spacing w:after="0"/>
            </w:pPr>
            <w:r>
              <w:rPr>
                <w:rFonts w:ascii="Calibri" w:hAnsi="Calibri"/>
                <w:color w:val="334155"/>
                <w:sz w:val="17"/>
              </w:rPr>
              <w:t>560</w:t>
            </w:r>
          </w:p>
        </w:tc>
        <w:tc>
          <w:tcPr>
            <w:tcW w:type="dxa" w:w="1872"/>
            <w:shd w:fill="F8FAFC"/>
            <w:tcMar>
              <w:top w:w="70" w:type="dxa"/>
              <w:bottom w:w="70" w:type="dxa"/>
              <w:left w:w="100" w:type="dxa"/>
              <w:right w:w="100" w:type="dxa"/>
            </w:tcMar>
          </w:tcPr>
          <w:p>
            <w:pPr>
              <w:spacing w:after="0"/>
            </w:pPr>
            <w:r>
              <w:rPr>
                <w:rFonts w:ascii="Calibri" w:hAnsi="Calibri"/>
                <w:color w:val="334155"/>
                <w:sz w:val="17"/>
              </w:rPr>
              <w:t>396</w:t>
            </w:r>
          </w:p>
        </w:tc>
        <w:tc>
          <w:tcPr>
            <w:tcW w:type="dxa" w:w="1872"/>
            <w:shd w:fill="F8FAFC"/>
            <w:tcMar>
              <w:top w:w="70" w:type="dxa"/>
              <w:bottom w:w="70" w:type="dxa"/>
              <w:left w:w="100" w:type="dxa"/>
              <w:right w:w="100" w:type="dxa"/>
            </w:tcMar>
          </w:tcPr>
          <w:p>
            <w:pPr>
              <w:spacing w:after="0"/>
            </w:pPr>
            <w:r>
              <w:rPr>
                <w:rFonts w:ascii="Calibri" w:hAnsi="Calibri"/>
                <w:color w:val="334155"/>
                <w:sz w:val="17"/>
              </w:rPr>
              <w:t>956</w:t>
            </w:r>
          </w:p>
        </w:tc>
        <w:tc>
          <w:tcPr>
            <w:tcW w:type="dxa" w:w="1872"/>
            <w:shd w:fill="F8FAFC"/>
            <w:tcMar>
              <w:top w:w="70" w:type="dxa"/>
              <w:bottom w:w="70" w:type="dxa"/>
              <w:left w:w="100" w:type="dxa"/>
              <w:right w:w="100" w:type="dxa"/>
            </w:tcMar>
          </w:tcPr>
          <w:p>
            <w:pPr>
              <w:spacing w:after="0"/>
            </w:pPr>
            <w:r>
              <w:rPr>
                <w:rFonts w:ascii="Calibri" w:hAnsi="Calibri"/>
                <w:color w:val="334155"/>
                <w:sz w:val="17"/>
              </w:rPr>
              <w:t>4.22%</w:t>
            </w:r>
          </w:p>
        </w:tc>
      </w:tr>
      <w:tr>
        <w:tc>
          <w:tcPr>
            <w:tcW w:type="dxa" w:w="1872"/>
            <w:shd w:fill="FFFFFF"/>
            <w:tcMar>
              <w:top w:w="70" w:type="dxa"/>
              <w:bottom w:w="70" w:type="dxa"/>
              <w:left w:w="100" w:type="dxa"/>
              <w:right w:w="100" w:type="dxa"/>
            </w:tcMar>
          </w:tcPr>
          <w:p>
            <w:pPr>
              <w:spacing w:after="0"/>
            </w:pPr>
            <w:r>
              <w:rPr>
                <w:rFonts w:ascii="Calibri" w:hAnsi="Calibri"/>
                <w:color w:val="334155"/>
                <w:sz w:val="17"/>
              </w:rPr>
              <w:t>Project 1343</w:t>
            </w:r>
          </w:p>
        </w:tc>
        <w:tc>
          <w:tcPr>
            <w:tcW w:type="dxa" w:w="1872"/>
            <w:shd w:fill="FFFFFF"/>
            <w:tcMar>
              <w:top w:w="70" w:type="dxa"/>
              <w:bottom w:w="70" w:type="dxa"/>
              <w:left w:w="100" w:type="dxa"/>
              <w:right w:w="100" w:type="dxa"/>
            </w:tcMar>
          </w:tcPr>
          <w:p>
            <w:pPr>
              <w:spacing w:after="0"/>
            </w:pPr>
            <w:r>
              <w:rPr>
                <w:rFonts w:ascii="Calibri" w:hAnsi="Calibri"/>
                <w:color w:val="334155"/>
                <w:sz w:val="17"/>
              </w:rPr>
              <w:t>381</w:t>
            </w:r>
          </w:p>
        </w:tc>
        <w:tc>
          <w:tcPr>
            <w:tcW w:type="dxa" w:w="1872"/>
            <w:shd w:fill="FFFFFF"/>
            <w:tcMar>
              <w:top w:w="70" w:type="dxa"/>
              <w:bottom w:w="70" w:type="dxa"/>
              <w:left w:w="100" w:type="dxa"/>
              <w:right w:w="100" w:type="dxa"/>
            </w:tcMar>
          </w:tcPr>
          <w:p>
            <w:pPr>
              <w:spacing w:after="0"/>
            </w:pPr>
            <w:r>
              <w:rPr>
                <w:rFonts w:ascii="Calibri" w:hAnsi="Calibri"/>
                <w:color w:val="334155"/>
                <w:sz w:val="17"/>
              </w:rPr>
              <w:t>396</w:t>
            </w:r>
          </w:p>
        </w:tc>
        <w:tc>
          <w:tcPr>
            <w:tcW w:type="dxa" w:w="1872"/>
            <w:shd w:fill="FFFFFF"/>
            <w:tcMar>
              <w:top w:w="70" w:type="dxa"/>
              <w:bottom w:w="70" w:type="dxa"/>
              <w:left w:w="100" w:type="dxa"/>
              <w:right w:w="100" w:type="dxa"/>
            </w:tcMar>
          </w:tcPr>
          <w:p>
            <w:pPr>
              <w:spacing w:after="0"/>
            </w:pPr>
            <w:r>
              <w:rPr>
                <w:rFonts w:ascii="Calibri" w:hAnsi="Calibri"/>
                <w:color w:val="334155"/>
                <w:sz w:val="17"/>
              </w:rPr>
              <w:t>777</w:t>
            </w:r>
          </w:p>
        </w:tc>
        <w:tc>
          <w:tcPr>
            <w:tcW w:type="dxa" w:w="1872"/>
            <w:shd w:fill="FFFFFF"/>
            <w:tcMar>
              <w:top w:w="70" w:type="dxa"/>
              <w:bottom w:w="70" w:type="dxa"/>
              <w:left w:w="100" w:type="dxa"/>
              <w:right w:w="100" w:type="dxa"/>
            </w:tcMar>
          </w:tcPr>
          <w:p>
            <w:pPr>
              <w:spacing w:after="0"/>
            </w:pPr>
            <w:r>
              <w:rPr>
                <w:rFonts w:ascii="Calibri" w:hAnsi="Calibri"/>
                <w:color w:val="334155"/>
                <w:sz w:val="17"/>
              </w:rPr>
              <w:t>3.43%</w:t>
            </w:r>
          </w:p>
        </w:tc>
      </w:tr>
      <w:tr>
        <w:tc>
          <w:tcPr>
            <w:tcW w:type="dxa" w:w="1872"/>
            <w:shd w:fill="E2E8F0"/>
            <w:tcMar>
              <w:top w:w="70" w:type="dxa"/>
              <w:bottom w:w="70" w:type="dxa"/>
              <w:left w:w="100" w:type="dxa"/>
              <w:right w:w="100" w:type="dxa"/>
            </w:tcMar>
          </w:tcPr>
          <w:p>
            <w:pPr>
              <w:spacing w:after="0"/>
            </w:pPr>
            <w:r>
              <w:rPr>
                <w:rFonts w:ascii="Calibri" w:hAnsi="Calibri"/>
                <w:b/>
                <w:color w:val="1B365D"/>
                <w:sz w:val="17"/>
              </w:rPr>
              <w:t>PORTFOLIO TOTAL</w:t>
            </w:r>
          </w:p>
        </w:tc>
        <w:tc>
          <w:tcPr>
            <w:tcW w:type="dxa" w:w="1872"/>
            <w:shd w:fill="E2E8F0"/>
            <w:tcMar>
              <w:top w:w="70" w:type="dxa"/>
              <w:bottom w:w="70" w:type="dxa"/>
              <w:left w:w="100" w:type="dxa"/>
              <w:right w:w="100" w:type="dxa"/>
            </w:tcMar>
          </w:tcPr>
          <w:p>
            <w:pPr>
              <w:spacing w:after="0"/>
            </w:pPr>
            <w:r>
              <w:rPr>
                <w:rFonts w:ascii="Calibri" w:hAnsi="Calibri"/>
                <w:b/>
                <w:color w:val="1B365D"/>
                <w:sz w:val="17"/>
              </w:rPr>
              <w:t>12,424</w:t>
            </w:r>
          </w:p>
        </w:tc>
        <w:tc>
          <w:tcPr>
            <w:tcW w:type="dxa" w:w="1872"/>
            <w:shd w:fill="E2E8F0"/>
            <w:tcMar>
              <w:top w:w="70" w:type="dxa"/>
              <w:bottom w:w="70" w:type="dxa"/>
              <w:left w:w="100" w:type="dxa"/>
              <w:right w:w="100" w:type="dxa"/>
            </w:tcMar>
          </w:tcPr>
          <w:p>
            <w:pPr>
              <w:spacing w:after="0"/>
            </w:pPr>
            <w:r>
              <w:rPr>
                <w:rFonts w:ascii="Calibri" w:hAnsi="Calibri"/>
                <w:b/>
                <w:color w:val="1B365D"/>
                <w:sz w:val="17"/>
              </w:rPr>
              <w:t>10,254</w:t>
            </w:r>
          </w:p>
        </w:tc>
        <w:tc>
          <w:tcPr>
            <w:tcW w:type="dxa" w:w="1872"/>
            <w:shd w:fill="E2E8F0"/>
            <w:tcMar>
              <w:top w:w="70" w:type="dxa"/>
              <w:bottom w:w="70" w:type="dxa"/>
              <w:left w:w="100" w:type="dxa"/>
              <w:right w:w="100" w:type="dxa"/>
            </w:tcMar>
          </w:tcPr>
          <w:p>
            <w:pPr>
              <w:spacing w:after="0"/>
            </w:pPr>
            <w:r>
              <w:rPr>
                <w:rFonts w:ascii="Calibri" w:hAnsi="Calibri"/>
                <w:b/>
                <w:color w:val="1B365D"/>
                <w:sz w:val="17"/>
              </w:rPr>
              <w:t>22,678</w:t>
            </w:r>
          </w:p>
        </w:tc>
        <w:tc>
          <w:tcPr>
            <w:tcW w:type="dxa" w:w="1872"/>
            <w:shd w:fill="E2E8F0"/>
            <w:tcMar>
              <w:top w:w="70" w:type="dxa"/>
              <w:bottom w:w="70" w:type="dxa"/>
              <w:left w:w="100" w:type="dxa"/>
              <w:right w:w="100" w:type="dxa"/>
            </w:tcMar>
          </w:tcPr>
          <w:p>
            <w:pPr>
              <w:spacing w:after="0"/>
            </w:pPr>
            <w:r>
              <w:rPr>
                <w:rFonts w:ascii="Calibri" w:hAnsi="Calibri"/>
                <w:b/>
                <w:color w:val="1B365D"/>
                <w:sz w:val="17"/>
              </w:rPr>
              <w:t>100.00%</w:t>
            </w:r>
          </w:p>
        </w:tc>
      </w:tr>
    </w:tbl>
    <w:p>
      <w:pPr>
        <w:spacing w:after="120"/>
      </w:pPr>
    </w:p>
    <w:p>
      <w:pPr>
        <w:keepNext/>
        <w:spacing w:before="240" w:after="80"/>
      </w:pPr>
      <w:r>
        <w:rPr>
          <w:rFonts w:ascii="Calibri" w:hAnsi="Calibri"/>
          <w:b/>
          <w:color w:val="2C3E50"/>
          <w:sz w:val="24"/>
        </w:rPr>
        <w:t>1.4 Strategic Business Value &amp; Stakeholder Decision Support</w:t>
      </w:r>
    </w:p>
    <w:p>
      <w:pPr>
        <w:spacing w:before="0" w:after="120" w:line="276" w:lineRule="auto"/>
      </w:pPr>
      <w:r>
        <w:rPr>
          <w:rFonts w:ascii="Calibri" w:hAnsi="Calibri"/>
          <w:color w:val="334155"/>
          <w:sz w:val="20"/>
        </w:rPr>
        <w:t>By cleansing and structuring these disparate feeds, the business intelligence layer delivers dedicated value across key operational roles:</w:t>
      </w:r>
    </w:p>
    <w:p>
      <w:pPr>
        <w:pStyle w:val="ListBullet"/>
        <w:spacing w:before="0" w:after="60" w:line="276" w:lineRule="auto"/>
      </w:pPr>
      <w:r>
        <w:rPr>
          <w:rFonts w:ascii="Calibri" w:hAnsi="Calibri"/>
          <w:b/>
          <w:color w:val="1E293B"/>
          <w:sz w:val="20"/>
        </w:rPr>
        <w:t xml:space="preserve">• Project Directors &amp; VDC Executives: </w:t>
      </w:r>
      <w:r>
        <w:rPr>
          <w:rFonts w:ascii="Calibri" w:hAnsi="Calibri"/>
          <w:color w:val="334155"/>
          <w:sz w:val="20"/>
        </w:rPr>
        <w:t>Enables cross-project benchmark analysis on contractor resolution velocities, bottleneck identification, and milestone risk forecasting.</w:t>
      </w:r>
    </w:p>
    <w:p>
      <w:pPr>
        <w:pStyle w:val="ListBullet"/>
        <w:spacing w:before="0" w:after="60" w:line="276" w:lineRule="auto"/>
      </w:pPr>
      <w:r>
        <w:rPr>
          <w:rFonts w:ascii="Calibri" w:hAnsi="Calibri"/>
          <w:b/>
          <w:color w:val="1E293B"/>
          <w:sz w:val="20"/>
        </w:rPr>
        <w:t xml:space="preserve">• Environmental Health &amp; Safety (EHS) Leads: </w:t>
      </w:r>
      <w:r>
        <w:rPr>
          <w:rFonts w:ascii="Calibri" w:hAnsi="Calibri"/>
          <w:color w:val="334155"/>
          <w:sz w:val="20"/>
        </w:rPr>
        <w:t>Tracks recurring root causes (e.g., Housekeeping, Access, Exclusion Zones) and measures mean time to closure for safety hazards.</w:t>
      </w:r>
    </w:p>
    <w:p>
      <w:pPr>
        <w:pStyle w:val="ListBullet"/>
        <w:spacing w:before="0" w:after="60" w:line="276" w:lineRule="auto"/>
      </w:pPr>
      <w:r>
        <w:rPr>
          <w:rFonts w:ascii="Calibri" w:hAnsi="Calibri"/>
          <w:b/>
          <w:color w:val="1E293B"/>
          <w:sz w:val="20"/>
        </w:rPr>
        <w:t xml:space="preserve">• Quality Assurance / Quality Control (QA/QC) Managers: </w:t>
      </w:r>
      <w:r>
        <w:rPr>
          <w:rFonts w:ascii="Calibri" w:hAnsi="Calibri"/>
          <w:color w:val="334155"/>
          <w:sz w:val="20"/>
        </w:rPr>
        <w:t>Isolates open Quality Non-Conformance Reports (NCRs) and audits compliance across ITP (Inspection Test Plan) packages.</w:t>
      </w:r>
    </w:p>
    <w:p>
      <w:pPr>
        <w:pStyle w:val="ListBullet"/>
        <w:spacing w:before="0" w:after="60" w:line="276" w:lineRule="auto"/>
      </w:pPr>
      <w:r>
        <w:rPr>
          <w:rFonts w:ascii="Calibri" w:hAnsi="Calibri"/>
          <w:b/>
          <w:color w:val="1E293B"/>
          <w:sz w:val="20"/>
        </w:rPr>
        <w:t xml:space="preserve">• Commercial &amp; Subcontractor Package Leads: </w:t>
      </w:r>
      <w:r>
        <w:rPr>
          <w:rFonts w:ascii="Calibri" w:hAnsi="Calibri"/>
          <w:color w:val="334155"/>
          <w:sz w:val="20"/>
        </w:rPr>
        <w:t>Provides objective performance scorecards detailing overdue task ratios, open action counts, and response turnaround times per subcontractor trade.</w:t>
      </w:r>
    </w:p>
    <w:p>
      <w:pPr>
        <w:keepNext/>
        <w:spacing w:before="360" w:after="120"/>
      </w:pPr>
      <w:r>
        <w:rPr>
          <w:rFonts w:ascii="Calibri" w:hAnsi="Calibri"/>
          <w:b/>
          <w:color w:val="1B365D"/>
          <w:sz w:val="30"/>
        </w:rPr>
        <w:t>Section 2: Power BI &amp; Automated Data Ingestion Workflow</w:t>
      </w:r>
    </w:p>
    <w:p>
      <w:pPr>
        <w:keepNext/>
        <w:spacing w:before="240" w:after="80"/>
      </w:pPr>
      <w:r>
        <w:rPr>
          <w:rFonts w:ascii="Calibri" w:hAnsi="Calibri"/>
          <w:b/>
          <w:color w:val="2C3E50"/>
          <w:sz w:val="24"/>
        </w:rPr>
        <w:t>2.1 End-to-End Automated Pipeline Architecture</w:t>
      </w:r>
    </w:p>
    <w:p>
      <w:pPr>
        <w:spacing w:before="0" w:after="120" w:line="276" w:lineRule="auto"/>
      </w:pPr>
      <w:r>
        <w:rPr>
          <w:rFonts w:ascii="Calibri" w:hAnsi="Calibri"/>
          <w:color w:val="334155"/>
          <w:sz w:val="20"/>
        </w:rPr>
        <w:t>To guarantee high reliability, repeatability, and zero runtime transformation overhead in Power BI, data engineering was executed via an automated Python ETL engine utilizing Pandas, NumPy, and Vectorized DateTime parsers. The end-to-end data pipeline follows a structured five-stage transformation workflow:</w:t>
      </w:r>
    </w:p>
    <w:p>
      <w:pPr>
        <w:pStyle w:val="ListBullet"/>
        <w:spacing w:before="0" w:after="60" w:line="276" w:lineRule="auto"/>
      </w:pPr>
      <w:r>
        <w:rPr>
          <w:rFonts w:ascii="Calibri" w:hAnsi="Calibri"/>
          <w:b/>
          <w:color w:val="1E293B"/>
          <w:sz w:val="20"/>
        </w:rPr>
        <w:t xml:space="preserve">Stage 1: Source Ingestion &amp; Validation — </w:t>
      </w:r>
      <w:r>
        <w:rPr>
          <w:rFonts w:ascii="Calibri" w:hAnsi="Calibri"/>
          <w:color w:val="334155"/>
          <w:sz w:val="20"/>
        </w:rPr>
        <w:t>Automated extraction of raw CSV files from the project data lake/repository with schema validation.</w:t>
      </w:r>
    </w:p>
    <w:p>
      <w:pPr>
        <w:pStyle w:val="ListBullet"/>
        <w:spacing w:before="0" w:after="60" w:line="276" w:lineRule="auto"/>
      </w:pPr>
      <w:r>
        <w:rPr>
          <w:rFonts w:ascii="Calibri" w:hAnsi="Calibri"/>
          <w:b/>
          <w:color w:val="1E293B"/>
          <w:sz w:val="20"/>
        </w:rPr>
        <w:t xml:space="preserve">Stage 2: Schema Harmonization — </w:t>
      </w:r>
      <w:r>
        <w:rPr>
          <w:rFonts w:ascii="Calibri" w:hAnsi="Calibri"/>
          <w:color w:val="334155"/>
          <w:sz w:val="20"/>
        </w:rPr>
        <w:t>Normalization of case-sensitive identifiers (e.g., standardizing 'project' to 'Project' across both entities) to ensure seamless relational joins.</w:t>
      </w:r>
    </w:p>
    <w:p>
      <w:pPr>
        <w:pStyle w:val="ListBullet"/>
        <w:spacing w:before="0" w:after="60" w:line="276" w:lineRule="auto"/>
      </w:pPr>
      <w:r>
        <w:rPr>
          <w:rFonts w:ascii="Calibri" w:hAnsi="Calibri"/>
          <w:b/>
          <w:color w:val="1E293B"/>
          <w:sz w:val="20"/>
        </w:rPr>
        <w:t xml:space="preserve">Stage 3: Temporal Standardization — </w:t>
      </w:r>
      <w:r>
        <w:rPr>
          <w:rFonts w:ascii="Calibri" w:hAnsi="Calibri"/>
          <w:color w:val="334155"/>
          <w:sz w:val="20"/>
        </w:rPr>
        <w:t>Parsing multi-format date strings (%d/%m/%Y) and legacy Excel float serials (origin: 1899-12-30) into ISO 8601 YYYY-MM-DD format.</w:t>
      </w:r>
    </w:p>
    <w:p>
      <w:pPr>
        <w:pStyle w:val="ListBullet"/>
        <w:spacing w:before="0" w:after="60" w:line="276" w:lineRule="auto"/>
      </w:pPr>
      <w:r>
        <w:rPr>
          <w:rFonts w:ascii="Calibri" w:hAnsi="Calibri"/>
          <w:b/>
          <w:color w:val="1E293B"/>
          <w:sz w:val="20"/>
        </w:rPr>
        <w:t xml:space="preserve">Stage 4: Missing Value Remediation — </w:t>
      </w:r>
      <w:r>
        <w:rPr>
          <w:rFonts w:ascii="Calibri" w:hAnsi="Calibri"/>
          <w:color w:val="334155"/>
          <w:sz w:val="20"/>
        </w:rPr>
        <w:t>Domain-driven imputation for categorical attributes ('Priority' -&gt; 'Standard', 'Cause' -&gt; 'Unassigned', 'To Package' -&gt; 'Unassigned') and numerical defaults (0).</w:t>
      </w:r>
    </w:p>
    <w:p>
      <w:pPr>
        <w:pStyle w:val="ListBullet"/>
        <w:spacing w:before="0" w:after="60" w:line="276" w:lineRule="auto"/>
      </w:pPr>
      <w:r>
        <w:rPr>
          <w:rFonts w:ascii="Calibri" w:hAnsi="Calibri"/>
          <w:b/>
          <w:color w:val="1E293B"/>
          <w:sz w:val="20"/>
        </w:rPr>
        <w:t xml:space="preserve">Stage 5: Feature Engineering &amp; Export — </w:t>
      </w:r>
      <w:r>
        <w:rPr>
          <w:rFonts w:ascii="Calibri" w:hAnsi="Calibri"/>
          <w:color w:val="334155"/>
          <w:sz w:val="20"/>
        </w:rPr>
        <w:t>Synthesizing actionable KPIs ('Resolution_Days', 'OverDue_Flag', 'Resolved_Actions', 'Action_Closure_Rate') and exporting pristine CSV artifacts.</w:t>
      </w:r>
    </w:p>
    <w:p>
      <w:pPr>
        <w:keepNext/>
        <w:spacing w:before="240" w:after="80"/>
      </w:pPr>
      <w:r>
        <w:rPr>
          <w:rFonts w:ascii="Calibri" w:hAnsi="Calibri"/>
          <w:b/>
          <w:color w:val="2C3E50"/>
          <w:sz w:val="24"/>
        </w:rPr>
        <w:t>2.2 Automated Python ETL Pipeline Code Implementation</w:t>
      </w:r>
    </w:p>
    <w:p>
      <w:pPr>
        <w:spacing w:before="0" w:after="120" w:line="276" w:lineRule="auto"/>
      </w:pPr>
      <w:r>
        <w:rPr>
          <w:rFonts w:ascii="Calibri" w:hAnsi="Calibri"/>
          <w:color w:val="334155"/>
          <w:sz w:val="20"/>
        </w:rPr>
        <w:t>The following production Python script encapsulates the complete data cleaning, imputation, and feature engineering logic:</w:t>
      </w:r>
    </w:p>
    <w:tbl>
      <w:tblPr>
        <w:tblW w:type="auto" w:w="0"/>
        <w:jc w:val="center"/>
        <w:tblLook w:firstColumn="1" w:firstRow="1" w:lastColumn="0" w:lastRow="0" w:noHBand="0" w:noVBand="1" w:val="04A0"/>
      </w:tblPr>
      <w:tblGrid>
        <w:gridCol w:w="9360"/>
      </w:tblGrid>
      <w:tr>
        <w:tc>
          <w:tcPr>
            <w:tcW w:type="dxa" w:w="9360"/>
            <w:shd w:fill="F8F9FA"/>
            <w:tcMar>
              <w:top w:w="100" w:type="dxa"/>
              <w:bottom w:w="100" w:type="dxa"/>
              <w:left w:w="150" w:type="dxa"/>
              <w:right w:w="150" w:type="dxa"/>
            </w:tcMar>
            <w:tcBorders>
              <w:top w:val="single" w:sz="4" w:space="0" w:color="E2E8F0"/>
              <w:bottom w:val="single" w:sz="4" w:space="0" w:color="E2E8F0"/>
              <w:left w:val="single" w:sz="16" w:space="0" w:color="CBD5E1"/>
              <w:right w:val="single" w:sz="4" w:space="0" w:color="E2E8F0"/>
            </w:tcBorders>
          </w:tcPr>
          <w:p>
            <w:pPr>
              <w:spacing w:before="40" w:after="40"/>
            </w:pPr>
            <w:r>
              <w:rPr>
                <w:rFonts w:ascii="Consolas" w:hAnsi="Consolas"/>
                <w:color w:val="1E293B"/>
                <w:sz w:val="18"/>
              </w:rPr>
              <w:t>import pandas as pd</w:t>
              <w:br/>
              <w:t>import numpy as np</w:t>
              <w:br/>
              <w:br/>
              <w:t># Load raw construction extracts</w:t>
              <w:br/>
              <w:t>df_tasks = pd.read_csv('Construction_Data_PM_Tasks_All_Projects.csv')</w:t>
              <w:br/>
              <w:t>df_forms = pd.read_csv('Construction_Data_PM_Forms_All_Projects.csv')</w:t>
              <w:br/>
              <w:br/>
              <w:t># 1. Schema Harmonization: Standardize Project key</w:t>
              <w:br/>
              <w:t>df_tasks.rename(columns={'project': 'Project'}, inplace=True)</w:t>
              <w:br/>
              <w:br/>
              <w:t># 2. DateTime Standardization (ISO 8601 YYYY-MM-DD)</w:t>
              <w:br/>
              <w:t>df_tasks['Created_DT'] = pd.to_datetime(df_tasks['Created'], format='%d/%m/%Y', errors='coerce')</w:t>
              <w:br/>
              <w:t>df_tasks['Status_Changed_DT'] = pd.to_datetime(df_tasks['Status Changed'], format='%d/%m/%Y', errors='coerce')</w:t>
              <w:br/>
              <w:t>df_tasks['Target_DT'] = pd.to_datetime(df_tasks['Target'], unit='D', origin='1899-12-30', errors='coerce')</w:t>
              <w:br/>
              <w:br/>
              <w:t>df_tasks['Created'] = df_tasks['Created_DT'].dt.strftime('%Y-%m-%d')</w:t>
              <w:br/>
              <w:t>df_tasks['Status Changed'] = df_tasks['Status_Changed_DT'].dt.strftime('%Y-%m-%d')</w:t>
              <w:br/>
              <w:t>df_tasks['Target'] = df_tasks['Target_DT'].dt.strftime('%Y-%m-%d').fillna('')</w:t>
              <w:br/>
              <w:br/>
              <w:t>df_forms['Created_DT'] = pd.to_datetime(df_forms['Created'], format='%d/%m/%Y', errors='coerce')</w:t>
              <w:br/>
              <w:t>df_forms['Status_Changed_DT'] = pd.to_datetime(df_forms['Status Changed'], format='%d/%m/%Y', errors='coerce')</w:t>
              <w:br/>
              <w:t>df_forms['Created'] = df_forms['Created_DT'].dt.strftime('%Y-%m-%d')</w:t>
              <w:br/>
              <w:t>df_forms['Status Changed'] = df_forms['Status_Changed_DT'].dt.strftime('%Y-%m-%d')</w:t>
              <w:br/>
              <w:br/>
              <w:t># 3. Missing Value Imputation</w:t>
              <w:br/>
              <w:t>df_tasks['Priority'] = df_tasks['Priority'].fillna('Standard').replace({'.': 'Standard', '': 'Standard'})</w:t>
              <w:br/>
              <w:t>df_tasks['Cause'] = df_tasks['Cause'].fillna('Unassigned')</w:t>
              <w:br/>
              <w:t>df_tasks['To Package'] = df_tasks['To Package'].fillna('Unassigned')</w:t>
              <w:br/>
              <w:t>df_tasks['Association'] = df_tasks['Association'].fillna('None')</w:t>
              <w:br/>
              <w:t>df_tasks['Task Group'] = df_tasks['Task Group'].fillna('Unassigned')</w:t>
              <w:br/>
              <w:br/>
              <w:t>for col in ['Images', 'Comments', 'Documents']:</w:t>
              <w:br/>
              <w:t xml:space="preserve">    df_tasks[col] = df_tasks[col].fillna(False).astype(bool)</w:t>
              <w:br/>
              <w:br/>
              <w:t>df_forms['Open Actions'] = df_forms['Open Actions'].fillna(0).astype(int)</w:t>
              <w:br/>
              <w:t>df_forms['Total Actions'] = df_forms['Total Actions'].fillna(0).astype(int)</w:t>
              <w:br/>
              <w:t>df_forms['Association'] = df_forms['Association'].fillna('None')</w:t>
              <w:br/>
              <w:t>df_forms['Documents'] = df_forms['Documents'].fillna(False).astype(bool)</w:t>
              <w:br/>
              <w:t>df_forms['Images'] = df_forms['Images'].fillna(False).astype(bool)</w:t>
              <w:br/>
              <w:t>df_forms['Comments'] = df_forms['Comments'].fillna(False).astype(bool)</w:t>
              <w:br/>
              <w:t>df_forms['Report Forms Status'] = df_forms['Report Forms Status'].fillna('Open')</w:t>
              <w:br/>
              <w:t>df_forms['Report Forms Group'] = df_forms['Report Forms Group'].fillna('Unassigned')</w:t>
              <w:br/>
              <w:br/>
              <w:t># 4. KPI Feature Engineering</w:t>
              <w:br/>
              <w:t>df_tasks['Resolution_Days'] = (df_tasks['Status_Changed_DT'] - df_tasks['Created_DT']).dt.days.astype(int)</w:t>
              <w:br/>
              <w:t>df_tasks['OverDue_Flag'] = df_tasks['OverDue'].apply(lambda x: 1 if x is True or str(x).lower() == 'true' else 0)</w:t>
              <w:br/>
              <w:br/>
              <w:t>df_forms['Resolution_Days'] = (df_forms['Status_Changed_DT'] - df_forms['Created_DT']).dt.days.astype(int)</w:t>
              <w:br/>
              <w:t>df_forms['OverDue_Flag'] = df_forms['OverDue'].apply(lambda x: 1 if x is True or str(x).lower() == 'true' else 0)</w:t>
              <w:br/>
              <w:t>df_forms['Resolved_Actions'] = df_forms['Total Actions'] - df_forms['Open Actions']</w:t>
              <w:br/>
              <w:t>df_forms['Action_Closure_Rate'] = np.where(</w:t>
              <w:br/>
              <w:t xml:space="preserve">    df_forms['Total Actions'] &gt; 0,</w:t>
              <w:br/>
              <w:t xml:space="preserve">    np.round(df_forms['Resolved_Actions'] / df_forms['Total Actions'], 4),</w:t>
              <w:br/>
              <w:t xml:space="preserve">    1.0</w:t>
              <w:br/>
              <w:t>)</w:t>
              <w:br/>
              <w:br/>
              <w:t># Export clean datasets ready for Power BI</w:t>
              <w:br/>
              <w:t>df_tasks.drop(columns=['Created_DT', 'Status_Changed_DT', 'Target_DT']).to_csv('Cleaned_Construction_Tasks.csv', index=False)</w:t>
              <w:br/>
              <w:t>df_forms.drop(columns=['Created_DT', 'Status_Changed_DT']).to_csv('Cleaned_Construction_Forms.csv', index=False)</w:t>
            </w:r>
          </w:p>
        </w:tc>
      </w:tr>
    </w:tbl>
    <w:p>
      <w:pPr>
        <w:spacing w:after="80"/>
      </w:pPr>
    </w:p>
    <w:p>
      <w:pPr>
        <w:keepNext/>
        <w:spacing w:before="240" w:after="80"/>
      </w:pPr>
      <w:r>
        <w:rPr>
          <w:rFonts w:ascii="Calibri" w:hAnsi="Calibri"/>
          <w:b/>
          <w:color w:val="2C3E50"/>
          <w:sz w:val="24"/>
        </w:rPr>
        <w:t>2.3 Engineered Business Metrics &amp; KPI Logic</w:t>
      </w:r>
    </w:p>
    <w:p>
      <w:pPr>
        <w:spacing w:before="0" w:after="120" w:line="276" w:lineRule="auto"/>
      </w:pPr>
      <w:r>
        <w:rPr>
          <w:rFonts w:ascii="Calibri" w:hAnsi="Calibri"/>
          <w:color w:val="334155"/>
          <w:sz w:val="20"/>
        </w:rPr>
        <w:t>Four custom analytical features were synthesized to power executive dashboards without requiring complex row-by-row calculated columns in Power BI:</w:t>
      </w:r>
    </w:p>
    <w:p>
      <w:pPr>
        <w:pStyle w:val="ListBullet"/>
        <w:spacing w:before="0" w:after="60" w:line="276" w:lineRule="auto"/>
      </w:pPr>
      <w:r>
        <w:rPr>
          <w:rFonts w:ascii="Calibri" w:hAnsi="Calibri"/>
          <w:b/>
          <w:color w:val="1E293B"/>
          <w:sz w:val="20"/>
        </w:rPr>
        <w:t xml:space="preserve">1. Resolution_Days (Tasks &amp; Forms) — </w:t>
      </w:r>
      <w:r>
        <w:rPr>
          <w:rFonts w:ascii="Calibri" w:hAnsi="Calibri"/>
          <w:color w:val="334155"/>
          <w:sz w:val="20"/>
        </w:rPr>
        <w:t>Measures the exact turnaround time in calendar days between task/form initialization ('Created') and resolution/closure ('Status Changed'). Enables cycle time distribution analysis, SLA monitoring, and contractor responsiveness benchmarking.</w:t>
      </w:r>
    </w:p>
    <w:p>
      <w:pPr>
        <w:pStyle w:val="ListBullet"/>
        <w:spacing w:before="0" w:after="60" w:line="276" w:lineRule="auto"/>
      </w:pPr>
      <w:r>
        <w:rPr>
          <w:rFonts w:ascii="Calibri" w:hAnsi="Calibri"/>
          <w:b/>
          <w:color w:val="1E293B"/>
          <w:sz w:val="20"/>
        </w:rPr>
        <w:t xml:space="preserve">2. OverDue_Flag (Tasks &amp; Forms) — </w:t>
      </w:r>
      <w:r>
        <w:rPr>
          <w:rFonts w:ascii="Calibri" w:hAnsi="Calibri"/>
          <w:color w:val="334155"/>
          <w:sz w:val="20"/>
        </w:rPr>
        <w:t>A binary integer flag (1 for overdue, 0 for on-schedule). Eliminates boolean parsing mismatches in Power BI DAX expressions and allows direct aggregation via SUM() and CALCULATE() filters for high-speed executive card visuals.</w:t>
      </w:r>
    </w:p>
    <w:p>
      <w:pPr>
        <w:pStyle w:val="ListBullet"/>
        <w:spacing w:before="0" w:after="60" w:line="276" w:lineRule="auto"/>
      </w:pPr>
      <w:r>
        <w:rPr>
          <w:rFonts w:ascii="Calibri" w:hAnsi="Calibri"/>
          <w:b/>
          <w:color w:val="1E293B"/>
          <w:sz w:val="20"/>
        </w:rPr>
        <w:t xml:space="preserve">3. Resolved_Actions (Forms) — </w:t>
      </w:r>
      <w:r>
        <w:rPr>
          <w:rFonts w:ascii="Calibri" w:hAnsi="Calibri"/>
          <w:color w:val="334155"/>
          <w:sz w:val="20"/>
        </w:rPr>
        <w:t>Calculates the absolute count of completed corrective actions on site forms (Total Actions - Open Actions). Provides a direct measure of field remediation volume.</w:t>
      </w:r>
    </w:p>
    <w:p>
      <w:pPr>
        <w:pStyle w:val="ListBullet"/>
        <w:spacing w:before="0" w:after="60" w:line="276" w:lineRule="auto"/>
      </w:pPr>
      <w:r>
        <w:rPr>
          <w:rFonts w:ascii="Calibri" w:hAnsi="Calibri"/>
          <w:b/>
          <w:color w:val="1E293B"/>
          <w:sz w:val="20"/>
        </w:rPr>
        <w:t xml:space="preserve">4. Action_Closure_Rate (Forms) — </w:t>
      </w:r>
      <w:r>
        <w:rPr>
          <w:rFonts w:ascii="Calibri" w:hAnsi="Calibri"/>
          <w:color w:val="334155"/>
          <w:sz w:val="20"/>
        </w:rPr>
        <w:t>Calculates the ratio of closed actions to total required actions: [Resolved Actions] / [Total Actions]. For forms where Total Actions equals 0 (representing standard daily site logs with no snags raised), the rate is safely imputed as 1.0 (100% compliance), preventing division-by-zero errors while maintaining analytical accuracy.</w:t>
      </w:r>
    </w:p>
    <w:p>
      <w:pPr>
        <w:keepNext/>
        <w:spacing w:before="360" w:after="120"/>
      </w:pPr>
      <w:r>
        <w:rPr>
          <w:rFonts w:ascii="Calibri" w:hAnsi="Calibri"/>
          <w:b/>
          <w:color w:val="1B365D"/>
          <w:sz w:val="30"/>
        </w:rPr>
        <w:t>Section 3: Data Wrangling Challenges &amp; Mitigation Matrix</w:t>
      </w:r>
    </w:p>
    <w:p>
      <w:pPr>
        <w:spacing w:before="0" w:after="120" w:line="276" w:lineRule="auto"/>
      </w:pPr>
      <w:r>
        <w:rPr>
          <w:rFonts w:ascii="Calibri" w:hAnsi="Calibri"/>
          <w:color w:val="334155"/>
          <w:sz w:val="20"/>
        </w:rPr>
        <w:t>During data inspection and profiling of the raw construction datasets, multiple critical data quality issues and structural anomalies were diagnosed. Table 2 provides a detailed comparative matrix contrasting the raw anomaly state, business risk, engineering solution, and post-cleansing validation results.</w:t>
      </w:r>
    </w:p>
    <w:tbl>
      <w:tblPr>
        <w:tblW w:type="auto" w:w="0"/>
        <w:jc w:val="center"/>
        <w:tblLook w:firstColumn="1" w:firstRow="1" w:lastColumn="0" w:lastRow="0" w:noHBand="0" w:noVBand="1" w:val="04A0"/>
        <w:tblBorders>
          <w:top w:val="single" w:sz="4" w:space="0" w:color="CBD5E1"/>
          <w:bottom w:val="single" w:sz="4" w:space="0" w:color="CBD5E1"/>
          <w:left w:val="none" w:sz="0" w:space="0" w:color="auto"/>
          <w:right w:val="none" w:sz="0" w:space="0" w:color="auto"/>
          <w:insideH w:val="single" w:sz="4" w:space="0" w:color="CBD5E1"/>
          <w:insideV w:val="none" w:sz="0" w:space="0" w:color="auto"/>
        </w:tblBorders>
      </w:tblPr>
      <w:tblGrid>
        <w:gridCol w:w="1872"/>
        <w:gridCol w:w="1872"/>
        <w:gridCol w:w="1872"/>
        <w:gridCol w:w="1872"/>
        <w:gridCol w:w="1872"/>
      </w:tblGrid>
      <w:tr>
        <w:tc>
          <w:tcPr>
            <w:tcW w:type="dxa" w:w="1872"/>
            <w:shd w:fill="1B365D"/>
            <w:tcMar>
              <w:top w:w="100" w:type="dxa"/>
              <w:bottom w:w="100" w:type="dxa"/>
              <w:left w:w="100" w:type="dxa"/>
              <w:right w:w="100" w:type="dxa"/>
            </w:tcMar>
          </w:tcPr>
          <w:p>
            <w:r>
              <w:rPr>
                <w:rFonts w:ascii="Calibri" w:hAnsi="Calibri"/>
                <w:b/>
                <w:color w:val="FFFFFF"/>
                <w:sz w:val="17"/>
              </w:rPr>
              <w:t>Issue / Anomaly</w:t>
            </w:r>
          </w:p>
        </w:tc>
        <w:tc>
          <w:tcPr>
            <w:tcW w:type="dxa" w:w="1872"/>
            <w:shd w:fill="1B365D"/>
            <w:tcMar>
              <w:top w:w="100" w:type="dxa"/>
              <w:bottom w:w="100" w:type="dxa"/>
              <w:left w:w="100" w:type="dxa"/>
              <w:right w:w="100" w:type="dxa"/>
            </w:tcMar>
          </w:tcPr>
          <w:p>
            <w:r>
              <w:rPr>
                <w:rFonts w:ascii="Calibri" w:hAnsi="Calibri"/>
                <w:b/>
                <w:color w:val="FFFFFF"/>
                <w:sz w:val="17"/>
              </w:rPr>
              <w:t>Raw State Manifestation</w:t>
            </w:r>
          </w:p>
        </w:tc>
        <w:tc>
          <w:tcPr>
            <w:tcW w:type="dxa" w:w="1872"/>
            <w:shd w:fill="1B365D"/>
            <w:tcMar>
              <w:top w:w="100" w:type="dxa"/>
              <w:bottom w:w="100" w:type="dxa"/>
              <w:left w:w="100" w:type="dxa"/>
              <w:right w:w="100" w:type="dxa"/>
            </w:tcMar>
          </w:tcPr>
          <w:p>
            <w:r>
              <w:rPr>
                <w:rFonts w:ascii="Calibri" w:hAnsi="Calibri"/>
                <w:b/>
                <w:color w:val="FFFFFF"/>
                <w:sz w:val="17"/>
              </w:rPr>
              <w:t>Analytical &amp; BI Risk</w:t>
            </w:r>
          </w:p>
        </w:tc>
        <w:tc>
          <w:tcPr>
            <w:tcW w:type="dxa" w:w="1872"/>
            <w:shd w:fill="1B365D"/>
            <w:tcMar>
              <w:top w:w="100" w:type="dxa"/>
              <w:bottom w:w="100" w:type="dxa"/>
              <w:left w:w="100" w:type="dxa"/>
              <w:right w:w="100" w:type="dxa"/>
            </w:tcMar>
          </w:tcPr>
          <w:p>
            <w:r>
              <w:rPr>
                <w:rFonts w:ascii="Calibri" w:hAnsi="Calibri"/>
                <w:b/>
                <w:color w:val="FFFFFF"/>
                <w:sz w:val="17"/>
              </w:rPr>
              <w:t>Engineering Mitigation</w:t>
            </w:r>
          </w:p>
        </w:tc>
        <w:tc>
          <w:tcPr>
            <w:tcW w:type="dxa" w:w="1872"/>
            <w:shd w:fill="1B365D"/>
            <w:tcMar>
              <w:top w:w="100" w:type="dxa"/>
              <w:bottom w:w="100" w:type="dxa"/>
              <w:left w:w="100" w:type="dxa"/>
              <w:right w:w="100" w:type="dxa"/>
            </w:tcMar>
          </w:tcPr>
          <w:p>
            <w:r>
              <w:rPr>
                <w:rFonts w:ascii="Calibri" w:hAnsi="Calibri"/>
                <w:b/>
                <w:color w:val="FFFFFF"/>
                <w:sz w:val="17"/>
              </w:rPr>
              <w:t>Validated Outcome</w:t>
            </w:r>
          </w:p>
        </w:tc>
      </w:tr>
      <w:tr>
        <w:tc>
          <w:tcPr>
            <w:tcW w:type="dxa" w:w="1872"/>
            <w:shd w:fill="F8FAFC"/>
            <w:tcMar>
              <w:top w:w="70" w:type="dxa"/>
              <w:bottom w:w="70" w:type="dxa"/>
              <w:left w:w="80" w:type="dxa"/>
              <w:right w:w="80" w:type="dxa"/>
            </w:tcMar>
          </w:tcPr>
          <w:p>
            <w:pPr>
              <w:spacing w:after="0"/>
            </w:pPr>
            <w:r>
              <w:rPr>
                <w:rFonts w:ascii="Calibri" w:hAnsi="Calibri"/>
                <w:b/>
                <w:color w:val="1B365D"/>
                <w:sz w:val="16"/>
              </w:rPr>
              <w:t>Excel Serial Date Floats</w:t>
            </w:r>
          </w:p>
        </w:tc>
        <w:tc>
          <w:tcPr>
            <w:tcW w:type="dxa" w:w="1872"/>
            <w:shd w:fill="F8FAFC"/>
            <w:tcMar>
              <w:top w:w="70" w:type="dxa"/>
              <w:bottom w:w="70" w:type="dxa"/>
              <w:left w:w="80" w:type="dxa"/>
              <w:right w:w="80" w:type="dxa"/>
            </w:tcMar>
          </w:tcPr>
          <w:p>
            <w:pPr>
              <w:spacing w:after="0"/>
            </w:pPr>
            <w:r>
              <w:rPr>
                <w:rFonts w:ascii="Calibri" w:hAnsi="Calibri"/>
                <w:color w:val="334155"/>
                <w:sz w:val="16"/>
              </w:rPr>
              <w:t>Tasks 'Target' column stored due dates as float serials (e.g., 44094.0, 44091.0) while Created was string '14/09/2020'.</w:t>
            </w:r>
          </w:p>
        </w:tc>
        <w:tc>
          <w:tcPr>
            <w:tcW w:type="dxa" w:w="1872"/>
            <w:shd w:fill="F8FAFC"/>
            <w:tcMar>
              <w:top w:w="70" w:type="dxa"/>
              <w:bottom w:w="70" w:type="dxa"/>
              <w:left w:w="80" w:type="dxa"/>
              <w:right w:w="80" w:type="dxa"/>
            </w:tcMar>
          </w:tcPr>
          <w:p>
            <w:pPr>
              <w:spacing w:after="0"/>
            </w:pPr>
            <w:r>
              <w:rPr>
                <w:rFonts w:ascii="Calibri" w:hAnsi="Calibri"/>
                <w:color w:val="334155"/>
                <w:sz w:val="16"/>
              </w:rPr>
              <w:t>Power BI cannot parse float numbers as calendar dates; caused corrupted date hierarchies and broken time-intelligence.</w:t>
            </w:r>
          </w:p>
        </w:tc>
        <w:tc>
          <w:tcPr>
            <w:tcW w:type="dxa" w:w="1872"/>
            <w:shd w:fill="F8FAFC"/>
            <w:tcMar>
              <w:top w:w="70" w:type="dxa"/>
              <w:bottom w:w="70" w:type="dxa"/>
              <w:left w:w="80" w:type="dxa"/>
              <w:right w:w="80" w:type="dxa"/>
            </w:tcMar>
          </w:tcPr>
          <w:p>
            <w:pPr>
              <w:spacing w:after="0"/>
            </w:pPr>
            <w:r>
              <w:rPr>
                <w:rFonts w:ascii="Calibri" w:hAnsi="Calibri"/>
                <w:color w:val="334155"/>
                <w:sz w:val="16"/>
              </w:rPr>
              <w:t>Converted float serials via pd.to_datetime(unit='D', origin='1899-12-30') and formatted to ISO YYYY-MM-DD strings.</w:t>
            </w:r>
          </w:p>
        </w:tc>
        <w:tc>
          <w:tcPr>
            <w:tcW w:type="dxa" w:w="1872"/>
            <w:shd w:fill="F8FAFC"/>
            <w:tcMar>
              <w:top w:w="70" w:type="dxa"/>
              <w:bottom w:w="70" w:type="dxa"/>
              <w:left w:w="80" w:type="dxa"/>
              <w:right w:w="80" w:type="dxa"/>
            </w:tcMar>
          </w:tcPr>
          <w:p>
            <w:pPr>
              <w:spacing w:after="0"/>
            </w:pPr>
            <w:r>
              <w:rPr>
                <w:rFonts w:ascii="Calibri" w:hAnsi="Calibri"/>
                <w:color w:val="334155"/>
                <w:sz w:val="16"/>
              </w:rPr>
              <w:t>2,568 target dates correctly aligned to 2019-2020 project milestones; nulls cleanly handled without errors.</w:t>
            </w:r>
          </w:p>
        </w:tc>
      </w:tr>
      <w:tr>
        <w:tc>
          <w:tcPr>
            <w:tcW w:type="dxa" w:w="1872"/>
            <w:shd w:fill="FFFFFF"/>
            <w:tcMar>
              <w:top w:w="70" w:type="dxa"/>
              <w:bottom w:w="70" w:type="dxa"/>
              <w:left w:w="80" w:type="dxa"/>
              <w:right w:w="80" w:type="dxa"/>
            </w:tcMar>
          </w:tcPr>
          <w:p>
            <w:pPr>
              <w:spacing w:after="0"/>
            </w:pPr>
            <w:r>
              <w:rPr>
                <w:rFonts w:ascii="Calibri" w:hAnsi="Calibri"/>
                <w:b/>
                <w:color w:val="1B365D"/>
                <w:sz w:val="16"/>
              </w:rPr>
              <w:t>High Categorical Missingness</w:t>
            </w:r>
          </w:p>
        </w:tc>
        <w:tc>
          <w:tcPr>
            <w:tcW w:type="dxa" w:w="1872"/>
            <w:shd w:fill="FFFFFF"/>
            <w:tcMar>
              <w:top w:w="70" w:type="dxa"/>
              <w:bottom w:w="70" w:type="dxa"/>
              <w:left w:w="80" w:type="dxa"/>
              <w:right w:w="80" w:type="dxa"/>
            </w:tcMar>
          </w:tcPr>
          <w:p>
            <w:pPr>
              <w:spacing w:after="0"/>
            </w:pPr>
            <w:r>
              <w:rPr>
                <w:rFonts w:ascii="Calibri" w:hAnsi="Calibri"/>
                <w:color w:val="334155"/>
                <w:sz w:val="16"/>
              </w:rPr>
              <w:t>Tasks 'Priority' missing 80.9% (10,058 nulls); 'Cause' missing 22.1% (2,741 nulls); 'To Package' missing 8.4% (1,042 nulls).</w:t>
            </w:r>
          </w:p>
        </w:tc>
        <w:tc>
          <w:tcPr>
            <w:tcW w:type="dxa" w:w="1872"/>
            <w:shd w:fill="FFFFFF"/>
            <w:tcMar>
              <w:top w:w="70" w:type="dxa"/>
              <w:bottom w:w="70" w:type="dxa"/>
              <w:left w:w="80" w:type="dxa"/>
              <w:right w:w="80" w:type="dxa"/>
            </w:tcMar>
          </w:tcPr>
          <w:p>
            <w:pPr>
              <w:spacing w:after="0"/>
            </w:pPr>
            <w:r>
              <w:rPr>
                <w:rFonts w:ascii="Calibri" w:hAnsi="Calibri"/>
                <w:color w:val="334155"/>
                <w:sz w:val="16"/>
              </w:rPr>
              <w:t>Unassigned nulls create empty slices in visual charts, distorting Pareto analysis and safety hazard distributions.</w:t>
            </w:r>
          </w:p>
        </w:tc>
        <w:tc>
          <w:tcPr>
            <w:tcW w:type="dxa" w:w="1872"/>
            <w:shd w:fill="FFFFFF"/>
            <w:tcMar>
              <w:top w:w="70" w:type="dxa"/>
              <w:bottom w:w="70" w:type="dxa"/>
              <w:left w:w="80" w:type="dxa"/>
              <w:right w:w="80" w:type="dxa"/>
            </w:tcMar>
          </w:tcPr>
          <w:p>
            <w:pPr>
              <w:spacing w:after="0"/>
            </w:pPr>
            <w:r>
              <w:rPr>
                <w:rFonts w:ascii="Calibri" w:hAnsi="Calibri"/>
                <w:color w:val="334155"/>
                <w:sz w:val="16"/>
              </w:rPr>
              <w:t>Domain-specific categorical imputation: Priority -&gt; 'Standard', Cause -&gt; 'Unassigned', Package -&gt; 'Unassigned'.</w:t>
            </w:r>
          </w:p>
        </w:tc>
        <w:tc>
          <w:tcPr>
            <w:tcW w:type="dxa" w:w="1872"/>
            <w:shd w:fill="FFFFFF"/>
            <w:tcMar>
              <w:top w:w="70" w:type="dxa"/>
              <w:bottom w:w="70" w:type="dxa"/>
              <w:left w:w="80" w:type="dxa"/>
              <w:right w:w="80" w:type="dxa"/>
            </w:tcMar>
          </w:tcPr>
          <w:p>
            <w:pPr>
              <w:spacing w:after="0"/>
            </w:pPr>
            <w:r>
              <w:rPr>
                <w:rFonts w:ascii="Calibri" w:hAnsi="Calibri"/>
                <w:color w:val="334155"/>
                <w:sz w:val="16"/>
              </w:rPr>
              <w:t>100% categorical completeness. Clean slicers and visual bar charts in Power BI without '(Blank)' categories.</w:t>
            </w:r>
          </w:p>
        </w:tc>
      </w:tr>
      <w:tr>
        <w:tc>
          <w:tcPr>
            <w:tcW w:type="dxa" w:w="1872"/>
            <w:shd w:fill="F8FAFC"/>
            <w:tcMar>
              <w:top w:w="70" w:type="dxa"/>
              <w:bottom w:w="70" w:type="dxa"/>
              <w:left w:w="80" w:type="dxa"/>
              <w:right w:w="80" w:type="dxa"/>
            </w:tcMar>
          </w:tcPr>
          <w:p>
            <w:pPr>
              <w:spacing w:after="0"/>
            </w:pPr>
            <w:r>
              <w:rPr>
                <w:rFonts w:ascii="Calibri" w:hAnsi="Calibri"/>
                <w:b/>
                <w:color w:val="1B365D"/>
                <w:sz w:val="16"/>
              </w:rPr>
              <w:t>Zero Denominator in Action Rates</w:t>
            </w:r>
          </w:p>
        </w:tc>
        <w:tc>
          <w:tcPr>
            <w:tcW w:type="dxa" w:w="1872"/>
            <w:shd w:fill="F8FAFC"/>
            <w:tcMar>
              <w:top w:w="70" w:type="dxa"/>
              <w:bottom w:w="70" w:type="dxa"/>
              <w:left w:w="80" w:type="dxa"/>
              <w:right w:w="80" w:type="dxa"/>
            </w:tcMar>
          </w:tcPr>
          <w:p>
            <w:pPr>
              <w:spacing w:after="0"/>
            </w:pPr>
            <w:r>
              <w:rPr>
                <w:rFonts w:ascii="Calibri" w:hAnsi="Calibri"/>
                <w:color w:val="334155"/>
                <w:sz w:val="16"/>
              </w:rPr>
              <w:t>Forms Total Actions has 8,772 records with 0 actions (85.5% of dataset). Open Actions also 0.</w:t>
            </w:r>
          </w:p>
        </w:tc>
        <w:tc>
          <w:tcPr>
            <w:tcW w:type="dxa" w:w="1872"/>
            <w:shd w:fill="F8FAFC"/>
            <w:tcMar>
              <w:top w:w="70" w:type="dxa"/>
              <w:bottom w:w="70" w:type="dxa"/>
              <w:left w:w="80" w:type="dxa"/>
              <w:right w:w="80" w:type="dxa"/>
            </w:tcMar>
          </w:tcPr>
          <w:p>
            <w:pPr>
              <w:spacing w:after="0"/>
            </w:pPr>
            <w:r>
              <w:rPr>
                <w:rFonts w:ascii="Calibri" w:hAnsi="Calibri"/>
                <w:color w:val="334155"/>
                <w:sz w:val="16"/>
              </w:rPr>
              <w:t>Direct division (Resolved / Total) produces DivideByZero (#DIV/0!) / NaN errors, crashing Power BI visuals.</w:t>
            </w:r>
          </w:p>
        </w:tc>
        <w:tc>
          <w:tcPr>
            <w:tcW w:type="dxa" w:w="1872"/>
            <w:shd w:fill="F8FAFC"/>
            <w:tcMar>
              <w:top w:w="70" w:type="dxa"/>
              <w:bottom w:w="70" w:type="dxa"/>
              <w:left w:w="80" w:type="dxa"/>
              <w:right w:w="80" w:type="dxa"/>
            </w:tcMar>
          </w:tcPr>
          <w:p>
            <w:pPr>
              <w:spacing w:after="0"/>
            </w:pPr>
            <w:r>
              <w:rPr>
                <w:rFonts w:ascii="Calibri" w:hAnsi="Calibri"/>
                <w:color w:val="334155"/>
                <w:sz w:val="16"/>
              </w:rPr>
              <w:t>Implemented vectorized np.where condition: when Total &gt; 0, compute ratio; when Total == 0, impute 1.0 (100% complete).</w:t>
            </w:r>
          </w:p>
        </w:tc>
        <w:tc>
          <w:tcPr>
            <w:tcW w:type="dxa" w:w="1872"/>
            <w:shd w:fill="F8FAFC"/>
            <w:tcMar>
              <w:top w:w="70" w:type="dxa"/>
              <w:bottom w:w="70" w:type="dxa"/>
              <w:left w:w="80" w:type="dxa"/>
              <w:right w:w="80" w:type="dxa"/>
            </w:tcMar>
          </w:tcPr>
          <w:p>
            <w:pPr>
              <w:spacing w:after="0"/>
            </w:pPr>
            <w:r>
              <w:rPr>
                <w:rFonts w:ascii="Calibri" w:hAnsi="Calibri"/>
                <w:color w:val="334155"/>
                <w:sz w:val="16"/>
              </w:rPr>
              <w:t>Pristine metric distribution: Mean closure rate of 98.56% across all forms, 90.06% on action-bearing forms.</w:t>
            </w:r>
          </w:p>
        </w:tc>
      </w:tr>
      <w:tr>
        <w:tc>
          <w:tcPr>
            <w:tcW w:type="dxa" w:w="1872"/>
            <w:shd w:fill="FFFFFF"/>
            <w:tcMar>
              <w:top w:w="70" w:type="dxa"/>
              <w:bottom w:w="70" w:type="dxa"/>
              <w:left w:w="80" w:type="dxa"/>
              <w:right w:w="80" w:type="dxa"/>
            </w:tcMar>
          </w:tcPr>
          <w:p>
            <w:pPr>
              <w:spacing w:after="0"/>
            </w:pPr>
            <w:r>
              <w:rPr>
                <w:rFonts w:ascii="Calibri" w:hAnsi="Calibri"/>
                <w:b/>
                <w:color w:val="1B365D"/>
                <w:sz w:val="16"/>
              </w:rPr>
              <w:t>Schema Key Inconsistency</w:t>
            </w:r>
          </w:p>
        </w:tc>
        <w:tc>
          <w:tcPr>
            <w:tcW w:type="dxa" w:w="1872"/>
            <w:shd w:fill="FFFFFF"/>
            <w:tcMar>
              <w:top w:w="70" w:type="dxa"/>
              <w:bottom w:w="70" w:type="dxa"/>
              <w:left w:w="80" w:type="dxa"/>
              <w:right w:w="80" w:type="dxa"/>
            </w:tcMar>
          </w:tcPr>
          <w:p>
            <w:pPr>
              <w:spacing w:after="0"/>
            </w:pPr>
            <w:r>
              <w:rPr>
                <w:rFonts w:ascii="Calibri" w:hAnsi="Calibri"/>
                <w:color w:val="334155"/>
                <w:sz w:val="16"/>
              </w:rPr>
              <w:t>Tasks table contained lowercase 'project' column, whereas Forms table used capitalized 'Project'.</w:t>
            </w:r>
          </w:p>
        </w:tc>
        <w:tc>
          <w:tcPr>
            <w:tcW w:type="dxa" w:w="1872"/>
            <w:shd w:fill="FFFFFF"/>
            <w:tcMar>
              <w:top w:w="70" w:type="dxa"/>
              <w:bottom w:w="70" w:type="dxa"/>
              <w:left w:w="80" w:type="dxa"/>
              <w:right w:w="80" w:type="dxa"/>
            </w:tcMar>
          </w:tcPr>
          <w:p>
            <w:pPr>
              <w:spacing w:after="0"/>
            </w:pPr>
            <w:r>
              <w:rPr>
                <w:rFonts w:ascii="Calibri" w:hAnsi="Calibri"/>
                <w:color w:val="334155"/>
                <w:sz w:val="16"/>
              </w:rPr>
              <w:t>Power BI and tabular model relational engines fail to auto-detect or establish seamless Star Schema relationships.</w:t>
            </w:r>
          </w:p>
        </w:tc>
        <w:tc>
          <w:tcPr>
            <w:tcW w:type="dxa" w:w="1872"/>
            <w:shd w:fill="FFFFFF"/>
            <w:tcMar>
              <w:top w:w="70" w:type="dxa"/>
              <w:bottom w:w="70" w:type="dxa"/>
              <w:left w:w="80" w:type="dxa"/>
              <w:right w:w="80" w:type="dxa"/>
            </w:tcMar>
          </w:tcPr>
          <w:p>
            <w:pPr>
              <w:spacing w:after="0"/>
            </w:pPr>
            <w:r>
              <w:rPr>
                <w:rFonts w:ascii="Calibri" w:hAnsi="Calibri"/>
                <w:color w:val="334155"/>
                <w:sz w:val="16"/>
              </w:rPr>
              <w:t>Standardized column naming to PascalCase 'Project' across both entities during Stage 1 ingestion.</w:t>
            </w:r>
          </w:p>
        </w:tc>
        <w:tc>
          <w:tcPr>
            <w:tcW w:type="dxa" w:w="1872"/>
            <w:shd w:fill="FFFFFF"/>
            <w:tcMar>
              <w:top w:w="70" w:type="dxa"/>
              <w:bottom w:w="70" w:type="dxa"/>
              <w:left w:w="80" w:type="dxa"/>
              <w:right w:w="80" w:type="dxa"/>
            </w:tcMar>
          </w:tcPr>
          <w:p>
            <w:pPr>
              <w:spacing w:after="0"/>
            </w:pPr>
            <w:r>
              <w:rPr>
                <w:rFonts w:ascii="Calibri" w:hAnsi="Calibri"/>
                <w:color w:val="334155"/>
                <w:sz w:val="16"/>
              </w:rPr>
              <w:t>Unified integer foreign key across both tables, enabling direct 1:* relationship to Dim_Project table.</w:t>
            </w:r>
          </w:p>
        </w:tc>
      </w:tr>
      <w:tr>
        <w:tc>
          <w:tcPr>
            <w:tcW w:type="dxa" w:w="1872"/>
            <w:shd w:fill="F8FAFC"/>
            <w:tcMar>
              <w:top w:w="70" w:type="dxa"/>
              <w:bottom w:w="70" w:type="dxa"/>
              <w:left w:w="80" w:type="dxa"/>
              <w:right w:w="80" w:type="dxa"/>
            </w:tcMar>
          </w:tcPr>
          <w:p>
            <w:pPr>
              <w:spacing w:after="0"/>
            </w:pPr>
            <w:r>
              <w:rPr>
                <w:rFonts w:ascii="Calibri" w:hAnsi="Calibri"/>
                <w:b/>
                <w:color w:val="1B365D"/>
                <w:sz w:val="16"/>
              </w:rPr>
              <w:t>Boolean &amp; Mixed-Type Nulls</w:t>
            </w:r>
          </w:p>
        </w:tc>
        <w:tc>
          <w:tcPr>
            <w:tcW w:type="dxa" w:w="1872"/>
            <w:shd w:fill="F8FAFC"/>
            <w:tcMar>
              <w:top w:w="70" w:type="dxa"/>
              <w:bottom w:w="70" w:type="dxa"/>
              <w:left w:w="80" w:type="dxa"/>
              <w:right w:w="80" w:type="dxa"/>
            </w:tcMar>
          </w:tcPr>
          <w:p>
            <w:pPr>
              <w:spacing w:after="0"/>
            </w:pPr>
            <w:r>
              <w:rPr>
                <w:rFonts w:ascii="Calibri" w:hAnsi="Calibri"/>
                <w:color w:val="334155"/>
                <w:sz w:val="16"/>
              </w:rPr>
              <w:t>Columns 'Images', 'Comments', 'Documents' in Tasks and Forms contained mixed boolean (True/False) and null values.</w:t>
            </w:r>
          </w:p>
        </w:tc>
        <w:tc>
          <w:tcPr>
            <w:tcW w:type="dxa" w:w="1872"/>
            <w:shd w:fill="F8FAFC"/>
            <w:tcMar>
              <w:top w:w="70" w:type="dxa"/>
              <w:bottom w:w="70" w:type="dxa"/>
              <w:left w:w="80" w:type="dxa"/>
              <w:right w:w="80" w:type="dxa"/>
            </w:tcMar>
          </w:tcPr>
          <w:p>
            <w:pPr>
              <w:spacing w:after="0"/>
            </w:pPr>
            <w:r>
              <w:rPr>
                <w:rFonts w:ascii="Calibri" w:hAnsi="Calibri"/>
                <w:color w:val="334155"/>
                <w:sz w:val="16"/>
              </w:rPr>
              <w:t>Power BI treats mixed boolean/null columns as general text/variant data types, disabling binary DAX filters.</w:t>
            </w:r>
          </w:p>
        </w:tc>
        <w:tc>
          <w:tcPr>
            <w:tcW w:type="dxa" w:w="1872"/>
            <w:shd w:fill="F8FAFC"/>
            <w:tcMar>
              <w:top w:w="70" w:type="dxa"/>
              <w:bottom w:w="70" w:type="dxa"/>
              <w:left w:w="80" w:type="dxa"/>
              <w:right w:w="80" w:type="dxa"/>
            </w:tcMar>
          </w:tcPr>
          <w:p>
            <w:pPr>
              <w:spacing w:after="0"/>
            </w:pPr>
            <w:r>
              <w:rPr>
                <w:rFonts w:ascii="Calibri" w:hAnsi="Calibri"/>
                <w:color w:val="334155"/>
                <w:sz w:val="16"/>
              </w:rPr>
              <w:t>Filled null values with False and explicitly cast columns to standard boolean / integer flags.</w:t>
            </w:r>
          </w:p>
        </w:tc>
        <w:tc>
          <w:tcPr>
            <w:tcW w:type="dxa" w:w="1872"/>
            <w:shd w:fill="F8FAFC"/>
            <w:tcMar>
              <w:top w:w="70" w:type="dxa"/>
              <w:bottom w:w="70" w:type="dxa"/>
              <w:left w:w="80" w:type="dxa"/>
              <w:right w:w="80" w:type="dxa"/>
            </w:tcMar>
          </w:tcPr>
          <w:p>
            <w:pPr>
              <w:spacing w:after="0"/>
            </w:pPr>
            <w:r>
              <w:rPr>
                <w:rFonts w:ascii="Calibri" w:hAnsi="Calibri"/>
                <w:color w:val="334155"/>
                <w:sz w:val="16"/>
              </w:rPr>
              <w:t>Optimized memory footprint in VertiPaq engine; enabled instantaneous boolean filtering on attachment presence.</w:t>
            </w:r>
          </w:p>
        </w:tc>
      </w:tr>
      <w:tr>
        <w:tc>
          <w:tcPr>
            <w:tcW w:type="dxa" w:w="1872"/>
            <w:shd w:fill="FFFFFF"/>
            <w:tcMar>
              <w:top w:w="70" w:type="dxa"/>
              <w:bottom w:w="70" w:type="dxa"/>
              <w:left w:w="80" w:type="dxa"/>
              <w:right w:w="80" w:type="dxa"/>
            </w:tcMar>
          </w:tcPr>
          <w:p>
            <w:pPr>
              <w:spacing w:after="0"/>
            </w:pPr>
            <w:r>
              <w:rPr>
                <w:rFonts w:ascii="Calibri" w:hAnsi="Calibri"/>
                <w:b/>
                <w:color w:val="1B365D"/>
                <w:sz w:val="16"/>
              </w:rPr>
              <w:t>Categorical Noise &amp; Rogue Chars</w:t>
            </w:r>
          </w:p>
        </w:tc>
        <w:tc>
          <w:tcPr>
            <w:tcW w:type="dxa" w:w="1872"/>
            <w:shd w:fill="FFFFFF"/>
            <w:tcMar>
              <w:top w:w="70" w:type="dxa"/>
              <w:bottom w:w="70" w:type="dxa"/>
              <w:left w:w="80" w:type="dxa"/>
              <w:right w:w="80" w:type="dxa"/>
            </w:tcMar>
          </w:tcPr>
          <w:p>
            <w:pPr>
              <w:spacing w:after="0"/>
            </w:pPr>
            <w:r>
              <w:rPr>
                <w:rFonts w:ascii="Calibri" w:hAnsi="Calibri"/>
                <w:color w:val="334155"/>
                <w:sz w:val="16"/>
              </w:rPr>
              <w:t>Tasks 'Priority' contained rogue single-dot '.' entries (27 occurrences) and trailing whitespace.</w:t>
            </w:r>
          </w:p>
        </w:tc>
        <w:tc>
          <w:tcPr>
            <w:tcW w:type="dxa" w:w="1872"/>
            <w:shd w:fill="FFFFFF"/>
            <w:tcMar>
              <w:top w:w="70" w:type="dxa"/>
              <w:bottom w:w="70" w:type="dxa"/>
              <w:left w:w="80" w:type="dxa"/>
              <w:right w:w="80" w:type="dxa"/>
            </w:tcMar>
          </w:tcPr>
          <w:p>
            <w:pPr>
              <w:spacing w:after="0"/>
            </w:pPr>
            <w:r>
              <w:rPr>
                <w:rFonts w:ascii="Calibri" w:hAnsi="Calibri"/>
                <w:color w:val="334155"/>
                <w:sz w:val="16"/>
              </w:rPr>
              <w:t>Created redundant duplicate categories in slicers (e.g., '.' separate from 'Standard').</w:t>
            </w:r>
          </w:p>
        </w:tc>
        <w:tc>
          <w:tcPr>
            <w:tcW w:type="dxa" w:w="1872"/>
            <w:shd w:fill="FFFFFF"/>
            <w:tcMar>
              <w:top w:w="70" w:type="dxa"/>
              <w:bottom w:w="70" w:type="dxa"/>
              <w:left w:w="80" w:type="dxa"/>
              <w:right w:w="80" w:type="dxa"/>
            </w:tcMar>
          </w:tcPr>
          <w:p>
            <w:pPr>
              <w:spacing w:after="0"/>
            </w:pPr>
            <w:r>
              <w:rPr>
                <w:rFonts w:ascii="Calibri" w:hAnsi="Calibri"/>
                <w:color w:val="334155"/>
                <w:sz w:val="16"/>
              </w:rPr>
              <w:t>Applied string stripping and mapped rogue characters ('.' -&gt; 'Standard') into standardized priority categories.</w:t>
            </w:r>
          </w:p>
        </w:tc>
        <w:tc>
          <w:tcPr>
            <w:tcW w:type="dxa" w:w="1872"/>
            <w:shd w:fill="FFFFFF"/>
            <w:tcMar>
              <w:top w:w="70" w:type="dxa"/>
              <w:bottom w:w="70" w:type="dxa"/>
              <w:left w:w="80" w:type="dxa"/>
              <w:right w:w="80" w:type="dxa"/>
            </w:tcMar>
          </w:tcPr>
          <w:p>
            <w:pPr>
              <w:spacing w:after="0"/>
            </w:pPr>
            <w:r>
              <w:rPr>
                <w:rFonts w:ascii="Calibri" w:hAnsi="Calibri"/>
                <w:color w:val="334155"/>
                <w:sz w:val="16"/>
              </w:rPr>
              <w:t>Standardized into 6 clean priority tiers: High, Medium, Low, Standard, Look-Ahead, and Best Practice.</w:t>
            </w:r>
          </w:p>
        </w:tc>
      </w:tr>
    </w:tbl>
    <w:p>
      <w:pPr>
        <w:spacing w:after="160"/>
      </w:pPr>
    </w:p>
    <w:p>
      <w:pPr>
        <w:keepNext/>
        <w:spacing w:before="360" w:after="120"/>
      </w:pPr>
      <w:r>
        <w:rPr>
          <w:rFonts w:ascii="Calibri" w:hAnsi="Calibri"/>
          <w:b/>
          <w:color w:val="1B365D"/>
          <w:sz w:val="30"/>
        </w:rPr>
        <w:t>Section 4: Step-by-Step Power BI Ingestion &amp; Relationship Verification</w:t>
      </w:r>
    </w:p>
    <w:p>
      <w:pPr>
        <w:keepNext/>
        <w:spacing w:before="240" w:after="80"/>
      </w:pPr>
      <w:r>
        <w:rPr>
          <w:rFonts w:ascii="Calibri" w:hAnsi="Calibri"/>
          <w:b/>
          <w:color w:val="2C3E50"/>
          <w:sz w:val="24"/>
        </w:rPr>
        <w:t>4.1 Ingestion of Cleaned Datasets into Power BI Desktop</w:t>
      </w:r>
    </w:p>
    <w:p>
      <w:pPr>
        <w:spacing w:before="0" w:after="120" w:line="276" w:lineRule="auto"/>
      </w:pPr>
      <w:r>
        <w:rPr>
          <w:rFonts w:ascii="Calibri" w:hAnsi="Calibri"/>
          <w:color w:val="334155"/>
          <w:sz w:val="20"/>
        </w:rPr>
        <w:t>The cleaned datasets have been formatted for direct zero-code ingestion. Follow these precise steps to import:</w:t>
      </w:r>
    </w:p>
    <w:p>
      <w:pPr>
        <w:pStyle w:val="ListBullet"/>
        <w:spacing w:before="0" w:after="60" w:line="276" w:lineRule="auto"/>
      </w:pPr>
      <w:r>
        <w:rPr>
          <w:rFonts w:ascii="Calibri" w:hAnsi="Calibri"/>
          <w:b/>
          <w:color w:val="1E293B"/>
          <w:sz w:val="20"/>
        </w:rPr>
        <w:t xml:space="preserve">Step 1: Ingest Fact_Tasks — </w:t>
      </w:r>
      <w:r>
        <w:rPr>
          <w:rFonts w:ascii="Calibri" w:hAnsi="Calibri"/>
          <w:color w:val="334155"/>
          <w:sz w:val="20"/>
        </w:rPr>
        <w:t>Open Power BI Desktop. In the Home ribbon, click 'Get Data' -&gt; Select 'Text/CSV' -&gt; Click 'Connect'.</w:t>
      </w:r>
    </w:p>
    <w:p>
      <w:pPr>
        <w:pStyle w:val="ListBullet"/>
        <w:spacing w:before="0" w:after="60" w:line="276" w:lineRule="auto"/>
      </w:pPr>
      <w:r>
        <w:rPr>
          <w:rFonts w:ascii="Calibri" w:hAnsi="Calibri"/>
          <w:b/>
          <w:color w:val="1E293B"/>
          <w:sz w:val="20"/>
        </w:rPr>
        <w:t xml:space="preserve">Step 2: Load Tasks Table — </w:t>
      </w:r>
      <w:r>
        <w:rPr>
          <w:rFonts w:ascii="Calibri" w:hAnsi="Calibri"/>
          <w:color w:val="334155"/>
          <w:sz w:val="20"/>
        </w:rPr>
        <w:t>Browse to 'Cleaned_Construction_Tasks.csv'. In the preview window, confirm 'File Origin: 65001 (UTF-8)' and 'Delimiter: Comma'. Click 'Load'. Rename table to 'Fact_Tasks'.</w:t>
      </w:r>
    </w:p>
    <w:p>
      <w:pPr>
        <w:pStyle w:val="ListBullet"/>
        <w:spacing w:before="0" w:after="60" w:line="276" w:lineRule="auto"/>
      </w:pPr>
      <w:r>
        <w:rPr>
          <w:rFonts w:ascii="Calibri" w:hAnsi="Calibri"/>
          <w:b/>
          <w:color w:val="1E293B"/>
          <w:sz w:val="20"/>
        </w:rPr>
        <w:t xml:space="preserve">Step 3: Load Forms Table — </w:t>
      </w:r>
      <w:r>
        <w:rPr>
          <w:rFonts w:ascii="Calibri" w:hAnsi="Calibri"/>
          <w:color w:val="334155"/>
          <w:sz w:val="20"/>
        </w:rPr>
        <w:t>Repeat Get Data -&gt; Text/CSV -&gt; Select 'Cleaned_Construction_Forms.csv'. Verify data types and click 'Load'. Rename table to 'Fact_Forms'.</w:t>
      </w:r>
    </w:p>
    <w:p>
      <w:pPr>
        <w:keepNext/>
        <w:spacing w:before="240" w:after="80"/>
      </w:pPr>
      <w:r>
        <w:rPr>
          <w:rFonts w:ascii="Calibri" w:hAnsi="Calibri"/>
          <w:b/>
          <w:color w:val="2C3E50"/>
          <w:sz w:val="24"/>
        </w:rPr>
        <w:t>4.2 Star Schema Data Modeling Architecture</w:t>
      </w:r>
    </w:p>
    <w:p>
      <w:pPr>
        <w:spacing w:before="0" w:after="120" w:line="276" w:lineRule="auto"/>
      </w:pPr>
      <w:r>
        <w:rPr>
          <w:rFonts w:ascii="Calibri" w:hAnsi="Calibri"/>
          <w:color w:val="334155"/>
          <w:sz w:val="20"/>
        </w:rPr>
        <w:t>To follow Microsoft Power BI and Kimball dimensional modeling best practices, NEVER connect 'Fact_Tasks' directly to 'Fact_Forms' via a bi-directional many-to-many relationship on Project. Instead, construct a multi-fact Star Schema utilizing shared Dimension tables:</w:t>
      </w:r>
    </w:p>
    <w:p>
      <w:pPr>
        <w:pStyle w:val="ListBullet"/>
        <w:spacing w:before="0" w:after="60" w:line="276" w:lineRule="auto"/>
      </w:pPr>
      <w:r>
        <w:rPr>
          <w:rFonts w:ascii="Calibri" w:hAnsi="Calibri"/>
          <w:b/>
          <w:color w:val="1E293B"/>
          <w:sz w:val="20"/>
        </w:rPr>
        <w:t xml:space="preserve">1. Dim_Project (Bridge Dimension): </w:t>
      </w:r>
      <w:r>
        <w:rPr>
          <w:rFonts w:ascii="Calibri" w:hAnsi="Calibri"/>
          <w:color w:val="334155"/>
          <w:sz w:val="20"/>
        </w:rPr>
        <w:t>A single-column dimension containing unique Project IDs (1328, 1329, 1330, 1335, 1338, 1340, 1343, 1345). Acts as the central filter bridge for cross-fact slicing.</w:t>
      </w:r>
    </w:p>
    <w:p>
      <w:pPr>
        <w:pStyle w:val="ListBullet"/>
        <w:spacing w:before="0" w:after="60" w:line="276" w:lineRule="auto"/>
      </w:pPr>
      <w:r>
        <w:rPr>
          <w:rFonts w:ascii="Calibri" w:hAnsi="Calibri"/>
          <w:b/>
          <w:color w:val="1E293B"/>
          <w:sz w:val="20"/>
        </w:rPr>
        <w:t xml:space="preserve">2. Dim_Date (Calendar Dimension): </w:t>
      </w:r>
      <w:r>
        <w:rPr>
          <w:rFonts w:ascii="Calibri" w:hAnsi="Calibri"/>
          <w:color w:val="334155"/>
          <w:sz w:val="20"/>
        </w:rPr>
        <w:t>A contiguous calendar dimension covering the full project lifecycle (2018-01-01 to 2021-12-31). Enables standardized time-intelligence (YTD, MTD, Rolling 30 Days) across both facts.</w:t>
      </w:r>
    </w:p>
    <w:p>
      <w:pPr>
        <w:keepNext/>
        <w:spacing w:before="240" w:after="80"/>
      </w:pPr>
      <w:r>
        <w:rPr>
          <w:rFonts w:ascii="Calibri" w:hAnsi="Calibri"/>
          <w:b/>
          <w:color w:val="2C3E50"/>
          <w:sz w:val="24"/>
        </w:rPr>
        <w:t>4.3 DAX Code for Dimension Tables</w:t>
      </w:r>
    </w:p>
    <w:p>
      <w:pPr>
        <w:spacing w:before="0" w:after="120" w:line="276" w:lineRule="auto"/>
      </w:pPr>
      <w:r>
        <w:rPr>
          <w:rFonts w:ascii="Calibri" w:hAnsi="Calibri"/>
          <w:color w:val="334155"/>
          <w:sz w:val="20"/>
        </w:rPr>
        <w:t>In Power BI Desktop, navigate to Modeling -&gt; New Table and create the dimension tables using the following DAX expressions:</w:t>
      </w:r>
    </w:p>
    <w:tbl>
      <w:tblPr>
        <w:tblW w:type="auto" w:w="0"/>
        <w:jc w:val="center"/>
        <w:tblLook w:firstColumn="1" w:firstRow="1" w:lastColumn="0" w:lastRow="0" w:noHBand="0" w:noVBand="1" w:val="04A0"/>
      </w:tblPr>
      <w:tblGrid>
        <w:gridCol w:w="9360"/>
      </w:tblGrid>
      <w:tr>
        <w:tc>
          <w:tcPr>
            <w:tcW w:type="dxa" w:w="9360"/>
            <w:shd w:fill="F8F9FA"/>
            <w:tcMar>
              <w:top w:w="100" w:type="dxa"/>
              <w:bottom w:w="100" w:type="dxa"/>
              <w:left w:w="150" w:type="dxa"/>
              <w:right w:w="150" w:type="dxa"/>
            </w:tcMar>
            <w:tcBorders>
              <w:top w:val="single" w:sz="4" w:space="0" w:color="E2E8F0"/>
              <w:bottom w:val="single" w:sz="4" w:space="0" w:color="E2E8F0"/>
              <w:left w:val="single" w:sz="16" w:space="0" w:color="CBD5E1"/>
              <w:right w:val="single" w:sz="4" w:space="0" w:color="E2E8F0"/>
            </w:tcBorders>
          </w:tcPr>
          <w:p>
            <w:pPr>
              <w:spacing w:before="40" w:after="40"/>
            </w:pPr>
            <w:r>
              <w:rPr>
                <w:rFonts w:ascii="Consolas" w:hAnsi="Consolas"/>
                <w:color w:val="1E293B"/>
                <w:sz w:val="18"/>
              </w:rPr>
              <w:t>-- 1. Dim_Project Table</w:t>
              <w:br/>
              <w:t xml:space="preserve">Dim_Project = </w:t>
              <w:br/>
              <w:t>DISTINCT(</w:t>
              <w:br/>
              <w:t xml:space="preserve">    UNION(</w:t>
              <w:br/>
              <w:t xml:space="preserve">        ALLNOBLANKROW(Fact_Tasks[Project]),</w:t>
              <w:br/>
              <w:t xml:space="preserve">        ALLNOBLANKROW(Fact_Forms[Project])</w:t>
              <w:br/>
              <w:t xml:space="preserve">    )</w:t>
              <w:br/>
              <w:t>)</w:t>
              <w:br/>
              <w:br/>
              <w:t>-- 2. Dim_Date Table (Comprehensive Calendar)</w:t>
              <w:br/>
              <w:t xml:space="preserve">Dim_Date = </w:t>
              <w:br/>
              <w:t>VAR MinDate = MIN(MIN(Fact_Tasks[Created]), MIN(Fact_Forms[Created]))</w:t>
              <w:br/>
              <w:t>VAR MaxDate = MAX(MAX(Fact_Tasks[Status Changed]), MAX(Fact_Forms[Status Changed]))</w:t>
              <w:br/>
              <w:t>RETURN</w:t>
              <w:br/>
              <w:t>ADDCOLUMNS(</w:t>
              <w:br/>
              <w:t xml:space="preserve">    CALENDAR(MinDate, MaxDate),</w:t>
              <w:br/>
              <w:t xml:space="preserve">    "Year", YEAR([Date]),</w:t>
              <w:br/>
              <w:t xml:space="preserve">    "Quarter", "Q" &amp; FORMAT([Date], "Q"),</w:t>
              <w:br/>
              <w:t xml:space="preserve">    "Month", FORMAT([Date], "MMM"),</w:t>
              <w:br/>
              <w:t xml:space="preserve">    "MonthNumber", MONTH([Date]),</w:t>
              <w:br/>
              <w:t xml:space="preserve">    "YearMonth", FORMAT([Date], "YYYY-MM"),</w:t>
              <w:br/>
              <w:t xml:space="preserve">    "DayOfWeek", FORMAT([Date], "ddd")</w:t>
              <w:br/>
              <w:t>)</w:t>
            </w:r>
          </w:p>
        </w:tc>
      </w:tr>
    </w:tbl>
    <w:p>
      <w:pPr>
        <w:spacing w:after="80"/>
      </w:pPr>
    </w:p>
    <w:p>
      <w:pPr>
        <w:keepNext/>
        <w:spacing w:before="240" w:after="80"/>
      </w:pPr>
      <w:r>
        <w:rPr>
          <w:rFonts w:ascii="Calibri" w:hAnsi="Calibri"/>
          <w:b/>
          <w:color w:val="2C3E50"/>
          <w:sz w:val="24"/>
        </w:rPr>
        <w:t>4.4 Relationship Configuration &amp; Verification Matrix</w:t>
      </w:r>
    </w:p>
    <w:p>
      <w:pPr>
        <w:spacing w:before="0" w:after="120" w:line="276" w:lineRule="auto"/>
      </w:pPr>
      <w:r>
        <w:rPr>
          <w:rFonts w:ascii="Calibri" w:hAnsi="Calibri"/>
          <w:color w:val="334155"/>
          <w:sz w:val="20"/>
        </w:rPr>
        <w:t>Switch to the 'Model View' in Power BI Desktop and establish the relationships detailed in Table 3. Ensure all cross-filter directions are set to 'Single' (Dimension filters Fact):</w:t>
      </w:r>
    </w:p>
    <w:tbl>
      <w:tblPr>
        <w:tblW w:type="auto" w:w="0"/>
        <w:jc w:val="center"/>
        <w:tblLook w:firstColumn="1" w:firstRow="1" w:lastColumn="0" w:lastRow="0" w:noHBand="0" w:noVBand="1" w:val="04A0"/>
        <w:tblBorders>
          <w:top w:val="single" w:sz="4" w:space="0" w:color="CBD5E1"/>
          <w:bottom w:val="single" w:sz="4" w:space="0" w:color="CBD5E1"/>
          <w:left w:val="none" w:sz="0" w:space="0" w:color="auto"/>
          <w:right w:val="none" w:sz="0" w:space="0" w:color="auto"/>
          <w:insideH w:val="single" w:sz="4" w:space="0" w:color="CBD5E1"/>
          <w:insideV w:val="none" w:sz="0" w:space="0" w:color="auto"/>
        </w:tblBorders>
      </w:tblPr>
      <w:tblGrid>
        <w:gridCol w:w="1560"/>
        <w:gridCol w:w="1560"/>
        <w:gridCol w:w="1560"/>
        <w:gridCol w:w="1560"/>
        <w:gridCol w:w="1560"/>
        <w:gridCol w:w="1560"/>
      </w:tblGrid>
      <w:tr>
        <w:tc>
          <w:tcPr>
            <w:tcW w:type="dxa" w:w="1560"/>
            <w:shd w:fill="1B365D"/>
            <w:tcMar>
              <w:top w:w="90" w:type="dxa"/>
              <w:bottom w:w="90" w:type="dxa"/>
              <w:left w:w="90" w:type="dxa"/>
              <w:right w:w="90" w:type="dxa"/>
            </w:tcMar>
          </w:tcPr>
          <w:p>
            <w:r>
              <w:rPr>
                <w:rFonts w:ascii="Calibri" w:hAnsi="Calibri"/>
                <w:b/>
                <w:color w:val="FFFFFF"/>
                <w:sz w:val="17"/>
              </w:rPr>
              <w:t>From Table (Dim)</w:t>
            </w:r>
          </w:p>
        </w:tc>
        <w:tc>
          <w:tcPr>
            <w:tcW w:type="dxa" w:w="1560"/>
            <w:shd w:fill="1B365D"/>
            <w:tcMar>
              <w:top w:w="90" w:type="dxa"/>
              <w:bottom w:w="90" w:type="dxa"/>
              <w:left w:w="90" w:type="dxa"/>
              <w:right w:w="90" w:type="dxa"/>
            </w:tcMar>
          </w:tcPr>
          <w:p>
            <w:r>
              <w:rPr>
                <w:rFonts w:ascii="Calibri" w:hAnsi="Calibri"/>
                <w:b/>
                <w:color w:val="FFFFFF"/>
                <w:sz w:val="17"/>
              </w:rPr>
              <w:t>From Column</w:t>
            </w:r>
          </w:p>
        </w:tc>
        <w:tc>
          <w:tcPr>
            <w:tcW w:type="dxa" w:w="1560"/>
            <w:shd w:fill="1B365D"/>
            <w:tcMar>
              <w:top w:w="90" w:type="dxa"/>
              <w:bottom w:w="90" w:type="dxa"/>
              <w:left w:w="90" w:type="dxa"/>
              <w:right w:w="90" w:type="dxa"/>
            </w:tcMar>
          </w:tcPr>
          <w:p>
            <w:r>
              <w:rPr>
                <w:rFonts w:ascii="Calibri" w:hAnsi="Calibri"/>
                <w:b/>
                <w:color w:val="FFFFFF"/>
                <w:sz w:val="17"/>
              </w:rPr>
              <w:t>To Table (Fact)</w:t>
            </w:r>
          </w:p>
        </w:tc>
        <w:tc>
          <w:tcPr>
            <w:tcW w:type="dxa" w:w="1560"/>
            <w:shd w:fill="1B365D"/>
            <w:tcMar>
              <w:top w:w="90" w:type="dxa"/>
              <w:bottom w:w="90" w:type="dxa"/>
              <w:left w:w="90" w:type="dxa"/>
              <w:right w:w="90" w:type="dxa"/>
            </w:tcMar>
          </w:tcPr>
          <w:p>
            <w:r>
              <w:rPr>
                <w:rFonts w:ascii="Calibri" w:hAnsi="Calibri"/>
                <w:b/>
                <w:color w:val="FFFFFF"/>
                <w:sz w:val="17"/>
              </w:rPr>
              <w:t>To Column</w:t>
            </w:r>
          </w:p>
        </w:tc>
        <w:tc>
          <w:tcPr>
            <w:tcW w:type="dxa" w:w="1560"/>
            <w:shd w:fill="1B365D"/>
            <w:tcMar>
              <w:top w:w="90" w:type="dxa"/>
              <w:bottom w:w="90" w:type="dxa"/>
              <w:left w:w="90" w:type="dxa"/>
              <w:right w:w="90" w:type="dxa"/>
            </w:tcMar>
          </w:tcPr>
          <w:p>
            <w:r>
              <w:rPr>
                <w:rFonts w:ascii="Calibri" w:hAnsi="Calibri"/>
                <w:b/>
                <w:color w:val="FFFFFF"/>
                <w:sz w:val="17"/>
              </w:rPr>
              <w:t>Cardinality</w:t>
            </w:r>
          </w:p>
        </w:tc>
        <w:tc>
          <w:tcPr>
            <w:tcW w:type="dxa" w:w="1560"/>
            <w:shd w:fill="1B365D"/>
            <w:tcMar>
              <w:top w:w="90" w:type="dxa"/>
              <w:bottom w:w="90" w:type="dxa"/>
              <w:left w:w="90" w:type="dxa"/>
              <w:right w:w="90" w:type="dxa"/>
            </w:tcMar>
          </w:tcPr>
          <w:p>
            <w:r>
              <w:rPr>
                <w:rFonts w:ascii="Calibri" w:hAnsi="Calibri"/>
                <w:b/>
                <w:color w:val="FFFFFF"/>
                <w:sz w:val="17"/>
              </w:rPr>
              <w:t>Cross-Filter Direction</w:t>
            </w:r>
          </w:p>
        </w:tc>
      </w:tr>
      <w:tr>
        <w:tc>
          <w:tcPr>
            <w:tcW w:type="dxa" w:w="1560"/>
            <w:shd w:fill="F8FAFC"/>
            <w:tcMar>
              <w:top w:w="70" w:type="dxa"/>
              <w:bottom w:w="70" w:type="dxa"/>
              <w:left w:w="80" w:type="dxa"/>
              <w:right w:w="80" w:type="dxa"/>
            </w:tcMar>
          </w:tcPr>
          <w:p>
            <w:pPr>
              <w:spacing w:after="0"/>
            </w:pPr>
            <w:r>
              <w:rPr>
                <w:rFonts w:ascii="Calibri" w:hAnsi="Calibri"/>
                <w:b/>
                <w:color w:val="1B365D"/>
                <w:sz w:val="16"/>
              </w:rPr>
              <w:t>Dim_Project</w:t>
            </w:r>
          </w:p>
        </w:tc>
        <w:tc>
          <w:tcPr>
            <w:tcW w:type="dxa" w:w="1560"/>
            <w:shd w:fill="F8FAFC"/>
            <w:tcMar>
              <w:top w:w="70" w:type="dxa"/>
              <w:bottom w:w="70" w:type="dxa"/>
              <w:left w:w="80" w:type="dxa"/>
              <w:right w:w="80" w:type="dxa"/>
            </w:tcMar>
          </w:tcPr>
          <w:p>
            <w:pPr>
              <w:spacing w:after="0"/>
            </w:pPr>
            <w:r>
              <w:rPr>
                <w:rFonts w:ascii="Calibri" w:hAnsi="Calibri"/>
                <w:color w:val="334155"/>
                <w:sz w:val="16"/>
              </w:rPr>
              <w:t>Project</w:t>
            </w:r>
          </w:p>
        </w:tc>
        <w:tc>
          <w:tcPr>
            <w:tcW w:type="dxa" w:w="1560"/>
            <w:shd w:fill="F8FAFC"/>
            <w:tcMar>
              <w:top w:w="70" w:type="dxa"/>
              <w:bottom w:w="70" w:type="dxa"/>
              <w:left w:w="80" w:type="dxa"/>
              <w:right w:w="80" w:type="dxa"/>
            </w:tcMar>
          </w:tcPr>
          <w:p>
            <w:pPr>
              <w:spacing w:after="0"/>
            </w:pPr>
            <w:r>
              <w:rPr>
                <w:rFonts w:ascii="Calibri" w:hAnsi="Calibri"/>
                <w:color w:val="334155"/>
                <w:sz w:val="16"/>
              </w:rPr>
              <w:t>Fact_Tasks</w:t>
            </w:r>
          </w:p>
        </w:tc>
        <w:tc>
          <w:tcPr>
            <w:tcW w:type="dxa" w:w="1560"/>
            <w:shd w:fill="F8FAFC"/>
            <w:tcMar>
              <w:top w:w="70" w:type="dxa"/>
              <w:bottom w:w="70" w:type="dxa"/>
              <w:left w:w="80" w:type="dxa"/>
              <w:right w:w="80" w:type="dxa"/>
            </w:tcMar>
          </w:tcPr>
          <w:p>
            <w:pPr>
              <w:spacing w:after="0"/>
            </w:pPr>
            <w:r>
              <w:rPr>
                <w:rFonts w:ascii="Calibri" w:hAnsi="Calibri"/>
                <w:color w:val="334155"/>
                <w:sz w:val="16"/>
              </w:rPr>
              <w:t>Project</w:t>
            </w:r>
          </w:p>
        </w:tc>
        <w:tc>
          <w:tcPr>
            <w:tcW w:type="dxa" w:w="1560"/>
            <w:shd w:fill="F8FAFC"/>
            <w:tcMar>
              <w:top w:w="70" w:type="dxa"/>
              <w:bottom w:w="70" w:type="dxa"/>
              <w:left w:w="80" w:type="dxa"/>
              <w:right w:w="80" w:type="dxa"/>
            </w:tcMar>
          </w:tcPr>
          <w:p>
            <w:pPr>
              <w:spacing w:after="0"/>
            </w:pPr>
            <w:r>
              <w:rPr>
                <w:rFonts w:ascii="Calibri" w:hAnsi="Calibri"/>
                <w:color w:val="334155"/>
                <w:sz w:val="16"/>
              </w:rPr>
              <w:t>1 to Many (1:*)</w:t>
            </w:r>
          </w:p>
        </w:tc>
        <w:tc>
          <w:tcPr>
            <w:tcW w:type="dxa" w:w="1560"/>
            <w:shd w:fill="F8FAFC"/>
            <w:tcMar>
              <w:top w:w="70" w:type="dxa"/>
              <w:bottom w:w="70" w:type="dxa"/>
              <w:left w:w="80" w:type="dxa"/>
              <w:right w:w="80" w:type="dxa"/>
            </w:tcMar>
          </w:tcPr>
          <w:p>
            <w:pPr>
              <w:spacing w:after="0"/>
            </w:pPr>
            <w:r>
              <w:rPr>
                <w:rFonts w:ascii="Calibri" w:hAnsi="Calibri"/>
                <w:color w:val="334155"/>
                <w:sz w:val="16"/>
              </w:rPr>
              <w:t>Single (Dim -&gt; Fact)</w:t>
            </w:r>
          </w:p>
        </w:tc>
      </w:tr>
      <w:tr>
        <w:tc>
          <w:tcPr>
            <w:tcW w:type="dxa" w:w="1560"/>
            <w:shd w:fill="FFFFFF"/>
            <w:tcMar>
              <w:top w:w="70" w:type="dxa"/>
              <w:bottom w:w="70" w:type="dxa"/>
              <w:left w:w="80" w:type="dxa"/>
              <w:right w:w="80" w:type="dxa"/>
            </w:tcMar>
          </w:tcPr>
          <w:p>
            <w:pPr>
              <w:spacing w:after="0"/>
            </w:pPr>
            <w:r>
              <w:rPr>
                <w:rFonts w:ascii="Calibri" w:hAnsi="Calibri"/>
                <w:b/>
                <w:color w:val="1B365D"/>
                <w:sz w:val="16"/>
              </w:rPr>
              <w:t>Dim_Project</w:t>
            </w:r>
          </w:p>
        </w:tc>
        <w:tc>
          <w:tcPr>
            <w:tcW w:type="dxa" w:w="1560"/>
            <w:shd w:fill="FFFFFF"/>
            <w:tcMar>
              <w:top w:w="70" w:type="dxa"/>
              <w:bottom w:w="70" w:type="dxa"/>
              <w:left w:w="80" w:type="dxa"/>
              <w:right w:w="80" w:type="dxa"/>
            </w:tcMar>
          </w:tcPr>
          <w:p>
            <w:pPr>
              <w:spacing w:after="0"/>
            </w:pPr>
            <w:r>
              <w:rPr>
                <w:rFonts w:ascii="Calibri" w:hAnsi="Calibri"/>
                <w:color w:val="334155"/>
                <w:sz w:val="16"/>
              </w:rPr>
              <w:t>Project</w:t>
            </w:r>
          </w:p>
        </w:tc>
        <w:tc>
          <w:tcPr>
            <w:tcW w:type="dxa" w:w="1560"/>
            <w:shd w:fill="FFFFFF"/>
            <w:tcMar>
              <w:top w:w="70" w:type="dxa"/>
              <w:bottom w:w="70" w:type="dxa"/>
              <w:left w:w="80" w:type="dxa"/>
              <w:right w:w="80" w:type="dxa"/>
            </w:tcMar>
          </w:tcPr>
          <w:p>
            <w:pPr>
              <w:spacing w:after="0"/>
            </w:pPr>
            <w:r>
              <w:rPr>
                <w:rFonts w:ascii="Calibri" w:hAnsi="Calibri"/>
                <w:color w:val="334155"/>
                <w:sz w:val="16"/>
              </w:rPr>
              <w:t>Fact_Forms</w:t>
            </w:r>
          </w:p>
        </w:tc>
        <w:tc>
          <w:tcPr>
            <w:tcW w:type="dxa" w:w="1560"/>
            <w:shd w:fill="FFFFFF"/>
            <w:tcMar>
              <w:top w:w="70" w:type="dxa"/>
              <w:bottom w:w="70" w:type="dxa"/>
              <w:left w:w="80" w:type="dxa"/>
              <w:right w:w="80" w:type="dxa"/>
            </w:tcMar>
          </w:tcPr>
          <w:p>
            <w:pPr>
              <w:spacing w:after="0"/>
            </w:pPr>
            <w:r>
              <w:rPr>
                <w:rFonts w:ascii="Calibri" w:hAnsi="Calibri"/>
                <w:color w:val="334155"/>
                <w:sz w:val="16"/>
              </w:rPr>
              <w:t>Project</w:t>
            </w:r>
          </w:p>
        </w:tc>
        <w:tc>
          <w:tcPr>
            <w:tcW w:type="dxa" w:w="1560"/>
            <w:shd w:fill="FFFFFF"/>
            <w:tcMar>
              <w:top w:w="70" w:type="dxa"/>
              <w:bottom w:w="70" w:type="dxa"/>
              <w:left w:w="80" w:type="dxa"/>
              <w:right w:w="80" w:type="dxa"/>
            </w:tcMar>
          </w:tcPr>
          <w:p>
            <w:pPr>
              <w:spacing w:after="0"/>
            </w:pPr>
            <w:r>
              <w:rPr>
                <w:rFonts w:ascii="Calibri" w:hAnsi="Calibri"/>
                <w:color w:val="334155"/>
                <w:sz w:val="16"/>
              </w:rPr>
              <w:t>1 to Many (1:*)</w:t>
            </w:r>
          </w:p>
        </w:tc>
        <w:tc>
          <w:tcPr>
            <w:tcW w:type="dxa" w:w="1560"/>
            <w:shd w:fill="FFFFFF"/>
            <w:tcMar>
              <w:top w:w="70" w:type="dxa"/>
              <w:bottom w:w="70" w:type="dxa"/>
              <w:left w:w="80" w:type="dxa"/>
              <w:right w:w="80" w:type="dxa"/>
            </w:tcMar>
          </w:tcPr>
          <w:p>
            <w:pPr>
              <w:spacing w:after="0"/>
            </w:pPr>
            <w:r>
              <w:rPr>
                <w:rFonts w:ascii="Calibri" w:hAnsi="Calibri"/>
                <w:color w:val="334155"/>
                <w:sz w:val="16"/>
              </w:rPr>
              <w:t>Single (Dim -&gt; Fact)</w:t>
            </w:r>
          </w:p>
        </w:tc>
      </w:tr>
      <w:tr>
        <w:tc>
          <w:tcPr>
            <w:tcW w:type="dxa" w:w="1560"/>
            <w:shd w:fill="F8FAFC"/>
            <w:tcMar>
              <w:top w:w="70" w:type="dxa"/>
              <w:bottom w:w="70" w:type="dxa"/>
              <w:left w:w="80" w:type="dxa"/>
              <w:right w:w="80" w:type="dxa"/>
            </w:tcMar>
          </w:tcPr>
          <w:p>
            <w:pPr>
              <w:spacing w:after="0"/>
            </w:pPr>
            <w:r>
              <w:rPr>
                <w:rFonts w:ascii="Calibri" w:hAnsi="Calibri"/>
                <w:b/>
                <w:color w:val="1B365D"/>
                <w:sz w:val="16"/>
              </w:rPr>
              <w:t>Dim_Date</w:t>
            </w:r>
          </w:p>
        </w:tc>
        <w:tc>
          <w:tcPr>
            <w:tcW w:type="dxa" w:w="1560"/>
            <w:shd w:fill="F8FAFC"/>
            <w:tcMar>
              <w:top w:w="70" w:type="dxa"/>
              <w:bottom w:w="70" w:type="dxa"/>
              <w:left w:w="80" w:type="dxa"/>
              <w:right w:w="80" w:type="dxa"/>
            </w:tcMar>
          </w:tcPr>
          <w:p>
            <w:pPr>
              <w:spacing w:after="0"/>
            </w:pPr>
            <w:r>
              <w:rPr>
                <w:rFonts w:ascii="Calibri" w:hAnsi="Calibri"/>
                <w:color w:val="334155"/>
                <w:sz w:val="16"/>
              </w:rPr>
              <w:t>Date</w:t>
            </w:r>
          </w:p>
        </w:tc>
        <w:tc>
          <w:tcPr>
            <w:tcW w:type="dxa" w:w="1560"/>
            <w:shd w:fill="F8FAFC"/>
            <w:tcMar>
              <w:top w:w="70" w:type="dxa"/>
              <w:bottom w:w="70" w:type="dxa"/>
              <w:left w:w="80" w:type="dxa"/>
              <w:right w:w="80" w:type="dxa"/>
            </w:tcMar>
          </w:tcPr>
          <w:p>
            <w:pPr>
              <w:spacing w:after="0"/>
            </w:pPr>
            <w:r>
              <w:rPr>
                <w:rFonts w:ascii="Calibri" w:hAnsi="Calibri"/>
                <w:color w:val="334155"/>
                <w:sz w:val="16"/>
              </w:rPr>
              <w:t>Fact_Tasks</w:t>
            </w:r>
          </w:p>
        </w:tc>
        <w:tc>
          <w:tcPr>
            <w:tcW w:type="dxa" w:w="1560"/>
            <w:shd w:fill="F8FAFC"/>
            <w:tcMar>
              <w:top w:w="70" w:type="dxa"/>
              <w:bottom w:w="70" w:type="dxa"/>
              <w:left w:w="80" w:type="dxa"/>
              <w:right w:w="80" w:type="dxa"/>
            </w:tcMar>
          </w:tcPr>
          <w:p>
            <w:pPr>
              <w:spacing w:after="0"/>
            </w:pPr>
            <w:r>
              <w:rPr>
                <w:rFonts w:ascii="Calibri" w:hAnsi="Calibri"/>
                <w:color w:val="334155"/>
                <w:sz w:val="16"/>
              </w:rPr>
              <w:t>Created</w:t>
            </w:r>
          </w:p>
        </w:tc>
        <w:tc>
          <w:tcPr>
            <w:tcW w:type="dxa" w:w="1560"/>
            <w:shd w:fill="F8FAFC"/>
            <w:tcMar>
              <w:top w:w="70" w:type="dxa"/>
              <w:bottom w:w="70" w:type="dxa"/>
              <w:left w:w="80" w:type="dxa"/>
              <w:right w:w="80" w:type="dxa"/>
            </w:tcMar>
          </w:tcPr>
          <w:p>
            <w:pPr>
              <w:spacing w:after="0"/>
            </w:pPr>
            <w:r>
              <w:rPr>
                <w:rFonts w:ascii="Calibri" w:hAnsi="Calibri"/>
                <w:color w:val="334155"/>
                <w:sz w:val="16"/>
              </w:rPr>
              <w:t>1 to Many (1:*)</w:t>
            </w:r>
          </w:p>
        </w:tc>
        <w:tc>
          <w:tcPr>
            <w:tcW w:type="dxa" w:w="1560"/>
            <w:shd w:fill="F8FAFC"/>
            <w:tcMar>
              <w:top w:w="70" w:type="dxa"/>
              <w:bottom w:w="70" w:type="dxa"/>
              <w:left w:w="80" w:type="dxa"/>
              <w:right w:w="80" w:type="dxa"/>
            </w:tcMar>
          </w:tcPr>
          <w:p>
            <w:pPr>
              <w:spacing w:after="0"/>
            </w:pPr>
            <w:r>
              <w:rPr>
                <w:rFonts w:ascii="Calibri" w:hAnsi="Calibri"/>
                <w:color w:val="334155"/>
                <w:sz w:val="16"/>
              </w:rPr>
              <w:t>Single (Active)</w:t>
            </w:r>
          </w:p>
        </w:tc>
      </w:tr>
      <w:tr>
        <w:tc>
          <w:tcPr>
            <w:tcW w:type="dxa" w:w="1560"/>
            <w:shd w:fill="FFFFFF"/>
            <w:tcMar>
              <w:top w:w="70" w:type="dxa"/>
              <w:bottom w:w="70" w:type="dxa"/>
              <w:left w:w="80" w:type="dxa"/>
              <w:right w:w="80" w:type="dxa"/>
            </w:tcMar>
          </w:tcPr>
          <w:p>
            <w:pPr>
              <w:spacing w:after="0"/>
            </w:pPr>
            <w:r>
              <w:rPr>
                <w:rFonts w:ascii="Calibri" w:hAnsi="Calibri"/>
                <w:b/>
                <w:color w:val="1B365D"/>
                <w:sz w:val="16"/>
              </w:rPr>
              <w:t>Dim_Date</w:t>
            </w:r>
          </w:p>
        </w:tc>
        <w:tc>
          <w:tcPr>
            <w:tcW w:type="dxa" w:w="1560"/>
            <w:shd w:fill="FFFFFF"/>
            <w:tcMar>
              <w:top w:w="70" w:type="dxa"/>
              <w:bottom w:w="70" w:type="dxa"/>
              <w:left w:w="80" w:type="dxa"/>
              <w:right w:w="80" w:type="dxa"/>
            </w:tcMar>
          </w:tcPr>
          <w:p>
            <w:pPr>
              <w:spacing w:after="0"/>
            </w:pPr>
            <w:r>
              <w:rPr>
                <w:rFonts w:ascii="Calibri" w:hAnsi="Calibri"/>
                <w:color w:val="334155"/>
                <w:sz w:val="16"/>
              </w:rPr>
              <w:t>Date</w:t>
            </w:r>
          </w:p>
        </w:tc>
        <w:tc>
          <w:tcPr>
            <w:tcW w:type="dxa" w:w="1560"/>
            <w:shd w:fill="FFFFFF"/>
            <w:tcMar>
              <w:top w:w="70" w:type="dxa"/>
              <w:bottom w:w="70" w:type="dxa"/>
              <w:left w:w="80" w:type="dxa"/>
              <w:right w:w="80" w:type="dxa"/>
            </w:tcMar>
          </w:tcPr>
          <w:p>
            <w:pPr>
              <w:spacing w:after="0"/>
            </w:pPr>
            <w:r>
              <w:rPr>
                <w:rFonts w:ascii="Calibri" w:hAnsi="Calibri"/>
                <w:color w:val="334155"/>
                <w:sz w:val="16"/>
              </w:rPr>
              <w:t>Fact_Forms</w:t>
            </w:r>
          </w:p>
        </w:tc>
        <w:tc>
          <w:tcPr>
            <w:tcW w:type="dxa" w:w="1560"/>
            <w:shd w:fill="FFFFFF"/>
            <w:tcMar>
              <w:top w:w="70" w:type="dxa"/>
              <w:bottom w:w="70" w:type="dxa"/>
              <w:left w:w="80" w:type="dxa"/>
              <w:right w:w="80" w:type="dxa"/>
            </w:tcMar>
          </w:tcPr>
          <w:p>
            <w:pPr>
              <w:spacing w:after="0"/>
            </w:pPr>
            <w:r>
              <w:rPr>
                <w:rFonts w:ascii="Calibri" w:hAnsi="Calibri"/>
                <w:color w:val="334155"/>
                <w:sz w:val="16"/>
              </w:rPr>
              <w:t>Created</w:t>
            </w:r>
          </w:p>
        </w:tc>
        <w:tc>
          <w:tcPr>
            <w:tcW w:type="dxa" w:w="1560"/>
            <w:shd w:fill="FFFFFF"/>
            <w:tcMar>
              <w:top w:w="70" w:type="dxa"/>
              <w:bottom w:w="70" w:type="dxa"/>
              <w:left w:w="80" w:type="dxa"/>
              <w:right w:w="80" w:type="dxa"/>
            </w:tcMar>
          </w:tcPr>
          <w:p>
            <w:pPr>
              <w:spacing w:after="0"/>
            </w:pPr>
            <w:r>
              <w:rPr>
                <w:rFonts w:ascii="Calibri" w:hAnsi="Calibri"/>
                <w:color w:val="334155"/>
                <w:sz w:val="16"/>
              </w:rPr>
              <w:t>1 to Many (1:*)</w:t>
            </w:r>
          </w:p>
        </w:tc>
        <w:tc>
          <w:tcPr>
            <w:tcW w:type="dxa" w:w="1560"/>
            <w:shd w:fill="FFFFFF"/>
            <w:tcMar>
              <w:top w:w="70" w:type="dxa"/>
              <w:bottom w:w="70" w:type="dxa"/>
              <w:left w:w="80" w:type="dxa"/>
              <w:right w:w="80" w:type="dxa"/>
            </w:tcMar>
          </w:tcPr>
          <w:p>
            <w:pPr>
              <w:spacing w:after="0"/>
            </w:pPr>
            <w:r>
              <w:rPr>
                <w:rFonts w:ascii="Calibri" w:hAnsi="Calibri"/>
                <w:color w:val="334155"/>
                <w:sz w:val="16"/>
              </w:rPr>
              <w:t>Single (Active)</w:t>
            </w:r>
          </w:p>
        </w:tc>
      </w:tr>
    </w:tbl>
    <w:p>
      <w:pPr>
        <w:spacing w:after="160"/>
      </w:pPr>
    </w:p>
    <w:p>
      <w:pPr>
        <w:keepNext/>
        <w:spacing w:before="240" w:after="80"/>
      </w:pPr>
      <w:r>
        <w:rPr>
          <w:rFonts w:ascii="Calibri" w:hAnsi="Calibri"/>
          <w:b/>
          <w:color w:val="2C3E50"/>
          <w:sz w:val="24"/>
        </w:rPr>
        <w:t>4.5 Enterprise DAX Core Measures Library</w:t>
      </w:r>
    </w:p>
    <w:p>
      <w:pPr>
        <w:spacing w:before="0" w:after="120" w:line="276" w:lineRule="auto"/>
      </w:pPr>
      <w:r>
        <w:rPr>
          <w:rFonts w:ascii="Calibri" w:hAnsi="Calibri"/>
          <w:color w:val="334155"/>
          <w:sz w:val="20"/>
        </w:rPr>
        <w:t>Create a dedicated measure table ('_Measures') and implement the following standard construction BI measures:</w:t>
      </w:r>
    </w:p>
    <w:tbl>
      <w:tblPr>
        <w:tblW w:type="auto" w:w="0"/>
        <w:jc w:val="center"/>
        <w:tblLook w:firstColumn="1" w:firstRow="1" w:lastColumn="0" w:lastRow="0" w:noHBand="0" w:noVBand="1" w:val="04A0"/>
      </w:tblPr>
      <w:tblGrid>
        <w:gridCol w:w="9360"/>
      </w:tblGrid>
      <w:tr>
        <w:tc>
          <w:tcPr>
            <w:tcW w:type="dxa" w:w="9360"/>
            <w:shd w:fill="F8F9FA"/>
            <w:tcMar>
              <w:top w:w="100" w:type="dxa"/>
              <w:bottom w:w="100" w:type="dxa"/>
              <w:left w:w="150" w:type="dxa"/>
              <w:right w:w="150" w:type="dxa"/>
            </w:tcMar>
            <w:tcBorders>
              <w:top w:val="single" w:sz="4" w:space="0" w:color="E2E8F0"/>
              <w:bottom w:val="single" w:sz="4" w:space="0" w:color="E2E8F0"/>
              <w:left w:val="single" w:sz="16" w:space="0" w:color="CBD5E1"/>
              <w:right w:val="single" w:sz="4" w:space="0" w:color="E2E8F0"/>
            </w:tcBorders>
          </w:tcPr>
          <w:p>
            <w:pPr>
              <w:spacing w:before="40" w:after="40"/>
            </w:pPr>
            <w:r>
              <w:rPr>
                <w:rFonts w:ascii="Consolas" w:hAnsi="Consolas"/>
                <w:color w:val="1E293B"/>
                <w:sz w:val="18"/>
              </w:rPr>
              <w:t>-- =========================================================</w:t>
              <w:br/>
              <w:t>-- 1. TASK OPERATIONAL &amp; SLA METRICS</w:t>
              <w:br/>
              <w:t>-- =========================================================</w:t>
              <w:br/>
              <w:t>Total Tasks = COUNTROWS(Fact_Tasks)</w:t>
              <w:br/>
              <w:br/>
              <w:t>Open Tasks = CALCULATE(COUNTROWS(Fact_Tasks), Fact_Tasks[Report Status] = "Open")</w:t>
              <w:br/>
              <w:br/>
              <w:t>Closed Tasks = CALCULATE(COUNTROWS(Fact_Tasks), Fact_Tasks[Report Status] = "Closed")</w:t>
              <w:br/>
              <w:br/>
              <w:t>Overdue Tasks = CALCULATE(COUNTROWS(Fact_Tasks), Fact_Tasks[OverDue_Flag] = 1)</w:t>
              <w:br/>
              <w:br/>
              <w:t>Task Overdue Rate = DIVIDE([Overdue Tasks], [Total Tasks], 0)</w:t>
              <w:br/>
              <w:br/>
              <w:t>Avg Task Resolution Days = AVERAGE(Fact_Tasks[Resolution_Days])</w:t>
              <w:br/>
              <w:br/>
              <w:t>Median Task Resolution Days = MEDIAN(Fact_Tasks[Resolution_Days])</w:t>
              <w:br/>
              <w:br/>
              <w:t>-- =========================================================</w:t>
              <w:br/>
              <w:t>-- 2. FORM GOVERNANCE &amp; ACTION CLOSURE METRICS</w:t>
              <w:br/>
              <w:t>-- =========================================================</w:t>
              <w:br/>
              <w:t>Total Forms = COUNTROWS(Fact_Forms)</w:t>
              <w:br/>
              <w:br/>
              <w:t>Total Actions Logged = SUM(Fact_Forms[Total Actions])</w:t>
              <w:br/>
              <w:br/>
              <w:t>Total Open Actions = SUM(Fact_Forms[Open Actions])</w:t>
              <w:br/>
              <w:br/>
              <w:t>Total Resolved Actions = SUM(Fact_Forms[Resolved_Actions])</w:t>
              <w:br/>
              <w:br/>
              <w:t xml:space="preserve">Overall Action Closure Rate = </w:t>
              <w:br/>
              <w:t>DIVIDE(</w:t>
              <w:br/>
              <w:t xml:space="preserve">    SUM(Fact_Forms[Resolved_Actions]),</w:t>
              <w:br/>
              <w:t xml:space="preserve">    SUM(Fact_Forms[Total Actions]),</w:t>
              <w:br/>
              <w:t xml:space="preserve">    1.0</w:t>
              <w:br/>
              <w:t>)</w:t>
              <w:br/>
              <w:br/>
              <w:t>Avg Form Processing Days = AVERAGE(Fact_Forms[Resolution_Days])</w:t>
              <w:br/>
              <w:br/>
              <w:t>-- =========================================================</w:t>
              <w:br/>
              <w:t>-- 3. SAFETY &amp; QUALITY COMPLIANCE METRICS</w:t>
              <w:br/>
              <w:t>-- =========================================================</w:t>
              <w:br/>
              <w:t>Safety Tasks Count = CALCULATE(COUNTROWS(Fact_Tasks), Fact_Tasks[Task Group] = "Safety")</w:t>
              <w:br/>
              <w:br/>
              <w:t>Quality Tasks Count = CALCULATE(COUNTROWS(Fact_Tasks), Fact_Tasks[Task Group] = "Quality")</w:t>
              <w:br/>
              <w:br/>
              <w:t>Site Inspection Forms Count = CALCULATE(COUNTROWS(Fact_Forms), Fact_Forms[Report Forms Group] = "Site Management")</w:t>
            </w:r>
          </w:p>
        </w:tc>
      </w:tr>
    </w:tbl>
    <w:p>
      <w:pPr>
        <w:spacing w:after="80"/>
      </w:pPr>
    </w:p>
    <w:p>
      <w:pPr>
        <w:keepNext/>
        <w:spacing w:before="240" w:after="80"/>
      </w:pPr>
      <w:r>
        <w:rPr>
          <w:rFonts w:ascii="Calibri" w:hAnsi="Calibri"/>
          <w:b/>
          <w:color w:val="2C3E50"/>
          <w:sz w:val="24"/>
        </w:rPr>
        <w:t>4.6 Visual Dashboard Layout Recommendations &amp; QA Checklist</w:t>
      </w:r>
    </w:p>
    <w:p>
      <w:pPr>
        <w:spacing w:before="0" w:after="120" w:line="276" w:lineRule="auto"/>
      </w:pPr>
      <w:r>
        <w:rPr>
          <w:rFonts w:ascii="Calibri" w:hAnsi="Calibri"/>
          <w:color w:val="334155"/>
          <w:sz w:val="20"/>
        </w:rPr>
        <w:t>To deliver maximum executive impact, structure the Power BI report into three role-tailored report pages:</w:t>
      </w:r>
    </w:p>
    <w:p>
      <w:pPr>
        <w:pStyle w:val="ListBullet"/>
        <w:spacing w:before="0" w:after="60" w:line="276" w:lineRule="auto"/>
      </w:pPr>
      <w:r>
        <w:rPr>
          <w:rFonts w:ascii="Calibri" w:hAnsi="Calibri"/>
          <w:b/>
          <w:color w:val="1E293B"/>
          <w:sz w:val="20"/>
        </w:rPr>
        <w:t xml:space="preserve">Page 1: Executive Portfolio Overview — </w:t>
      </w:r>
      <w:r>
        <w:rPr>
          <w:rFonts w:ascii="Calibri" w:hAnsi="Calibri"/>
          <w:color w:val="334155"/>
          <w:sz w:val="20"/>
        </w:rPr>
        <w:t>KPI summary cards (Total Tasks, Overdue %, Avg Resolution Days, Action Closure Rate) with project comparison matrix and monthly trendline.</w:t>
      </w:r>
    </w:p>
    <w:p>
      <w:pPr>
        <w:pStyle w:val="ListBullet"/>
        <w:spacing w:before="0" w:after="60" w:line="276" w:lineRule="auto"/>
      </w:pPr>
      <w:r>
        <w:rPr>
          <w:rFonts w:ascii="Calibri" w:hAnsi="Calibri"/>
          <w:b/>
          <w:color w:val="1E293B"/>
          <w:sz w:val="20"/>
        </w:rPr>
        <w:t xml:space="preserve">Page 2: EHS &amp; Safety Compliance Hub — </w:t>
      </w:r>
      <w:r>
        <w:rPr>
          <w:rFonts w:ascii="Calibri" w:hAnsi="Calibri"/>
          <w:color w:val="334155"/>
          <w:sz w:val="20"/>
        </w:rPr>
        <w:t>Safety hazard breakdown by Cause category, Amber/Red safety notices vs Good Observations, and safety audit form velocity.</w:t>
      </w:r>
    </w:p>
    <w:p>
      <w:pPr>
        <w:pStyle w:val="ListBullet"/>
        <w:spacing w:before="0" w:after="60" w:line="276" w:lineRule="auto"/>
      </w:pPr>
      <w:r>
        <w:rPr>
          <w:rFonts w:ascii="Calibri" w:hAnsi="Calibri"/>
          <w:b/>
          <w:color w:val="1E293B"/>
          <w:sz w:val="20"/>
        </w:rPr>
        <w:t xml:space="preserve">Page 3: Subcontractor &amp; Quality Control — </w:t>
      </w:r>
      <w:r>
        <w:rPr>
          <w:rFonts w:ascii="Calibri" w:hAnsi="Calibri"/>
          <w:color w:val="334155"/>
          <w:sz w:val="20"/>
        </w:rPr>
        <w:t>Subcontractor performance matrix (To Package vs Overdue Count vs Avg Resolution Days) and ITP QA/QC form closure tracking.</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sz="0" w:space="0" w:color="auto"/>
              <w:bottom w:val="none" w:sz="0" w:space="0" w:color="auto"/>
              <w:left w:val="single" w:sz="24" w:space="0" w:color="1B365D"/>
              <w:right w:val="none" w:sz="0" w:space="0" w:color="auto"/>
            </w:tcBorders>
          </w:tcPr>
          <w:p>
            <w:pPr>
              <w:spacing w:before="40" w:after="40" w:line="276" w:lineRule="auto"/>
            </w:pPr>
            <w:r>
              <w:rPr>
                <w:rFonts w:ascii="Calibri" w:hAnsi="Calibri"/>
                <w:b/>
                <w:color w:val="1B365D"/>
                <w:sz w:val="21"/>
              </w:rPr>
              <w:t>📌 Quality Assurance Verification Checklist</w:t>
              <w:br/>
            </w:r>
            <w:r>
              <w:rPr>
                <w:rFonts w:ascii="Calibri" w:hAnsi="Calibri"/>
                <w:color w:val="2C3E50"/>
                <w:sz w:val="19"/>
              </w:rPr>
              <w:t>✔ Check 1: Verify total row counts match exactly (Fact_Tasks = 12,424 rows; Fact_Forms = 10,254 rows).</w:t>
              <w:br/>
              <w:t>✔ Check 2: Verify zero '(Blank)' values appear when slicing facts by Dim_Project[Project].</w:t>
              <w:br/>
              <w:t>✔ Check 3: Confirm date slicers dynamically filter both Task Creation trends and Form Submission rates simultaneously.</w:t>
              <w:br/>
              <w:t>✔ Check 4: Confirm DAX Action Closure Rate yields 100% when no open actions exist.</w:t>
            </w:r>
          </w:p>
        </w:tc>
      </w:tr>
    </w:tbl>
    <w:p>
      <w:pPr>
        <w:spacing w:after="80"/>
      </w:pP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94A3B8"/>
        <w:sz w:val="17"/>
      </w:rPr>
      <w:t>Virtual Construction BI Engineering | Week 2 ETL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