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34"/>
        </w:rPr>
        <w:t>TRADING FRAMEWORK INTELLIGENCE SYSTEM (TFIS)</w:t>
      </w:r>
    </w:p>
    <w:p>
      <w:pPr>
        <w:jc w:val="center"/>
      </w:pPr>
      <w:r>
        <w:rPr>
          <w:rFonts w:ascii="Aptos Display" w:hAnsi="Aptos Display"/>
          <w:b/>
          <w:color w:val="1F4E79"/>
          <w:sz w:val="54"/>
        </w:rPr>
        <w:t>Monthly Status Reference and Implementation Specification</w:t>
      </w:r>
    </w:p>
    <w:p>
      <w:pPr>
        <w:jc w:val="center"/>
      </w:pPr>
      <w:r>
        <w:rPr>
          <w:i/>
          <w:color w:val="5A5A5A"/>
          <w:sz w:val="24"/>
        </w:rPr>
        <w:t>Single source of truth for developers, architects, testers and Codex</w:t>
      </w:r>
    </w:p>
    <w:p>
      <w:pPr>
        <w:jc w:val="center"/>
      </w:pPr>
      <w:r>
        <w:drawing>
          <wp:inline xmlns:a="http://schemas.openxmlformats.org/drawingml/2006/main" xmlns:pic="http://schemas.openxmlformats.org/drawingml/2006/picture">
            <wp:extent cx="6400800" cy="3911600"/>
            <wp:docPr id="1" name="Picture 1"/>
            <wp:cNvGraphicFramePr>
              <a:graphicFrameLocks noChangeAspect="1"/>
            </wp:cNvGraphicFramePr>
            <a:graphic>
              <a:graphicData uri="http://schemas.openxmlformats.org/drawingml/2006/picture">
                <pic:pic>
                  <pic:nvPicPr>
                    <pic:cNvPr id="0" name="monthly_status_state_machine.png"/>
                    <pic:cNvPicPr/>
                  </pic:nvPicPr>
                  <pic:blipFill>
                    <a:blip r:embed="rId9"/>
                    <a:stretch>
                      <a:fillRect/>
                    </a:stretch>
                  </pic:blipFill>
                  <pic:spPr>
                    <a:xfrm>
                      <a:off x="0" y="0"/>
                      <a:ext cx="6400800" cy="3911600"/>
                    </a:xfrm>
                    <a:prstGeom prst="rect"/>
                  </pic:spPr>
                </pic:pic>
              </a:graphicData>
            </a:graphic>
          </wp:inline>
        </w:drawing>
      </w:r>
    </w:p>
    <w:p>
      <w:pPr>
        <w:jc w:val="center"/>
      </w:pPr>
      <w:r>
        <w:rPr>
          <w:b/>
          <w:sz w:val="21"/>
        </w:rPr>
        <w:t>Version 1.0 | Baseline for code implementation and validation | 29 July 2026</w:t>
      </w:r>
    </w:p>
    <w:tbl>
      <w:tblPr>
        <w:tblStyle w:val="TableGrid"/>
        <w:tblW w:type="auto" w:w="0"/>
        <w:tblLook w:firstColumn="1" w:firstRow="1" w:lastColumn="0" w:lastRow="0" w:noHBand="0" w:noVBand="1" w:val="04A0"/>
      </w:tblPr>
      <w:tblGrid>
        <w:gridCol w:w="10080"/>
      </w:tblGrid>
      <w:tr>
        <w:tc>
          <w:tcPr>
            <w:tcW w:type="dxa" w:w="10080"/>
            <w:shd w:fill="FFF2CC"/>
          </w:tcPr>
          <w:p>
            <w:pPr>
              <w:spacing w:after="0"/>
            </w:pPr>
            <w:r/>
            <w:r>
              <w:rPr>
                <w:rFonts w:ascii="Aptos" w:hAnsi="Aptos"/>
                <w:b/>
                <w:color w:val="1F4E79"/>
                <w:sz w:val="20"/>
              </w:rPr>
              <w:t>Document authority</w:t>
              <w:br/>
            </w:r>
            <w:r>
              <w:rPr>
                <w:rFonts w:ascii="Aptos" w:hAnsi="Aptos"/>
                <w:sz w:val="19"/>
              </w:rPr>
              <w:t>This document consolidates the All Segment Rules diagrams, the manual NIFTY monthly-status walkthrough, and the strategy-owner clarifications supplied during the TFIS design review. It supersedes older FTAS sections that marked the exact Monthly Status transitions as open. Where this document identifies an unresolved implementation detail, the code must fail closed rather than infer a trading rule.</w:t>
            </w:r>
          </w:p>
        </w:tc>
      </w:tr>
    </w:tbl>
    <w:p/>
    <w:p>
      <w:r>
        <w:br w:type="page"/>
      </w:r>
    </w:p>
    <w:p>
      <w:pPr>
        <w:pStyle w:val="Heading1"/>
      </w:pPr>
      <w:r>
        <w:t>1. Purpose and Use</w:t>
      </w:r>
    </w:p>
    <w:p>
      <w:r>
        <w:t>Monthly Status is the central directional context for every TFIS strategy. This specification defines the business meaning, calculation process, state transitions, runtime behaviour, data requirements, implementation contract and test obligations. It is designed to be used directly during code design, Codex implementation, code review, replay analysis and acceptance testing.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872"/>
            <w:vAlign w:val="center"/>
            <w:shd w:fill="D9EAF7"/>
          </w:tcPr>
          <w:p>
            <w:pPr>
              <w:spacing w:after="0"/>
            </w:pPr>
            <w:r/>
            <w:r>
              <w:rPr>
                <w:rFonts w:ascii="Aptos" w:hAnsi="Aptos"/>
                <w:b/>
                <w:sz w:val="16"/>
              </w:rPr>
              <w:t>Audience</w:t>
            </w:r>
          </w:p>
        </w:tc>
        <w:tc>
          <w:tcPr>
            <w:tcW w:type="dxa" w:w="9216"/>
            <w:vAlign w:val="center"/>
            <w:shd w:fill="D9EAF7"/>
          </w:tcPr>
          <w:p>
            <w:pPr>
              <w:spacing w:after="0"/>
            </w:pPr>
            <w:r/>
            <w:r>
              <w:rPr>
                <w:rFonts w:ascii="Aptos" w:hAnsi="Aptos"/>
                <w:b/>
                <w:sz w:val="16"/>
              </w:rPr>
              <w:t>How to use this document</w:t>
            </w:r>
          </w:p>
        </w:tc>
      </w:tr>
      <w:tr>
        <w:tc>
          <w:tcPr>
            <w:tcW w:type="dxa" w:w="1872"/>
            <w:vAlign w:val="center"/>
          </w:tcPr>
          <w:p>
            <w:pPr>
              <w:spacing w:after="0"/>
            </w:pPr>
            <w:r/>
            <w:r>
              <w:rPr>
                <w:rFonts w:ascii="Aptos" w:hAnsi="Aptos"/>
                <w:b w:val="0"/>
                <w:sz w:val="16"/>
              </w:rPr>
              <w:t>Developer</w:t>
            </w:r>
          </w:p>
        </w:tc>
        <w:tc>
          <w:tcPr>
            <w:tcW w:type="dxa" w:w="9216"/>
            <w:vAlign w:val="center"/>
          </w:tcPr>
          <w:p>
            <w:pPr>
              <w:spacing w:after="0"/>
            </w:pPr>
            <w:r/>
            <w:r>
              <w:rPr>
                <w:rFonts w:ascii="Aptos" w:hAnsi="Aptos"/>
                <w:b w:val="0"/>
                <w:sz w:val="16"/>
              </w:rPr>
              <w:t>Implement the shared Monthly Status service and consume its result; do not duplicate the logic in strategies.</w:t>
            </w:r>
          </w:p>
        </w:tc>
      </w:tr>
      <w:tr>
        <w:tc>
          <w:tcPr>
            <w:tcW w:type="dxa" w:w="1872"/>
            <w:vAlign w:val="center"/>
          </w:tcPr>
          <w:p>
            <w:pPr>
              <w:spacing w:after="0"/>
            </w:pPr>
            <w:r/>
            <w:r>
              <w:rPr>
                <w:rFonts w:ascii="Aptos" w:hAnsi="Aptos"/>
                <w:b w:val="0"/>
                <w:sz w:val="16"/>
              </w:rPr>
              <w:t>Architect</w:t>
            </w:r>
          </w:p>
        </w:tc>
        <w:tc>
          <w:tcPr>
            <w:tcW w:type="dxa" w:w="9216"/>
            <w:vAlign w:val="center"/>
          </w:tcPr>
          <w:p>
            <w:pPr>
              <w:spacing w:after="0"/>
            </w:pPr>
            <w:r/>
            <w:r>
              <w:rPr>
                <w:rFonts w:ascii="Aptos" w:hAnsi="Aptos"/>
                <w:b w:val="0"/>
                <w:sz w:val="16"/>
              </w:rPr>
              <w:t>Validate state ownership, persistence, dependency direction, mode parity and fail-closed behaviour.</w:t>
            </w:r>
          </w:p>
        </w:tc>
      </w:tr>
      <w:tr>
        <w:tc>
          <w:tcPr>
            <w:tcW w:type="dxa" w:w="1872"/>
            <w:vAlign w:val="center"/>
          </w:tcPr>
          <w:p>
            <w:pPr>
              <w:spacing w:after="0"/>
            </w:pPr>
            <w:r/>
            <w:r>
              <w:rPr>
                <w:rFonts w:ascii="Aptos" w:hAnsi="Aptos"/>
                <w:b w:val="0"/>
                <w:sz w:val="16"/>
              </w:rPr>
              <w:t>Tester</w:t>
            </w:r>
          </w:p>
        </w:tc>
        <w:tc>
          <w:tcPr>
            <w:tcW w:type="dxa" w:w="9216"/>
            <w:vAlign w:val="center"/>
          </w:tcPr>
          <w:p>
            <w:pPr>
              <w:spacing w:after="0"/>
            </w:pPr>
            <w:r/>
            <w:r>
              <w:rPr>
                <w:rFonts w:ascii="Aptos" w:hAnsi="Aptos"/>
                <w:b w:val="0"/>
                <w:sz w:val="16"/>
              </w:rPr>
              <w:t>Build deterministic bootstrap, transition, calendar-boundary and replay-parity scenarios.</w:t>
            </w:r>
          </w:p>
        </w:tc>
      </w:tr>
      <w:tr>
        <w:tc>
          <w:tcPr>
            <w:tcW w:type="dxa" w:w="1872"/>
            <w:vAlign w:val="center"/>
          </w:tcPr>
          <w:p>
            <w:pPr>
              <w:spacing w:after="0"/>
            </w:pPr>
            <w:r/>
            <w:r>
              <w:rPr>
                <w:rFonts w:ascii="Aptos" w:hAnsi="Aptos"/>
                <w:b w:val="0"/>
                <w:sz w:val="16"/>
              </w:rPr>
              <w:t>Codex</w:t>
            </w:r>
          </w:p>
        </w:tc>
        <w:tc>
          <w:tcPr>
            <w:tcW w:type="dxa" w:w="9216"/>
            <w:vAlign w:val="center"/>
          </w:tcPr>
          <w:p>
            <w:pPr>
              <w:spacing w:after="0"/>
            </w:pPr>
            <w:r/>
            <w:r>
              <w:rPr>
                <w:rFonts w:ascii="Aptos" w:hAnsi="Aptos"/>
                <w:b w:val="0"/>
                <w:sz w:val="16"/>
              </w:rPr>
              <w:t>Treat requirements MON-001 onward as the authoritative implementation checklist.</w:t>
            </w:r>
          </w:p>
        </w:tc>
      </w:tr>
      <w:tr>
        <w:tc>
          <w:tcPr>
            <w:tcW w:type="dxa" w:w="1872"/>
            <w:vAlign w:val="center"/>
          </w:tcPr>
          <w:p>
            <w:pPr>
              <w:spacing w:after="0"/>
            </w:pPr>
            <w:r/>
            <w:r>
              <w:rPr>
                <w:rFonts w:ascii="Aptos" w:hAnsi="Aptos"/>
                <w:b w:val="0"/>
                <w:sz w:val="16"/>
              </w:rPr>
              <w:t>Strategy owner</w:t>
            </w:r>
          </w:p>
        </w:tc>
        <w:tc>
          <w:tcPr>
            <w:tcW w:type="dxa" w:w="9216"/>
            <w:vAlign w:val="center"/>
          </w:tcPr>
          <w:p>
            <w:pPr>
              <w:spacing w:after="0"/>
            </w:pPr>
            <w:r/>
            <w:r>
              <w:rPr>
                <w:rFonts w:ascii="Aptos" w:hAnsi="Aptos"/>
                <w:b w:val="0"/>
                <w:sz w:val="16"/>
              </w:rPr>
              <w:t>Confirm threshold tables, data-source rules and any later business clarification.</w:t>
            </w:r>
          </w:p>
        </w:tc>
      </w:tr>
    </w:tbl>
    <w:p/>
    <w:tbl>
      <w:tblPr>
        <w:tblStyle w:val="TableGrid"/>
        <w:tblW w:type="auto" w:w="0"/>
        <w:tblLook w:firstColumn="1" w:firstRow="1" w:lastColumn="0" w:lastRow="0" w:noHBand="0" w:noVBand="1" w:val="04A0"/>
      </w:tblPr>
      <w:tblGrid>
        <w:gridCol w:w="10080"/>
      </w:tblGrid>
      <w:tr>
        <w:tc>
          <w:tcPr>
            <w:tcW w:type="dxa" w:w="10080"/>
            <w:shd w:fill="E2F0D9"/>
          </w:tcPr>
          <w:p>
            <w:pPr>
              <w:spacing w:after="0"/>
            </w:pPr>
            <w:r/>
            <w:r>
              <w:rPr>
                <w:rFonts w:ascii="Aptos" w:hAnsi="Aptos"/>
                <w:b/>
                <w:color w:val="1F4E79"/>
                <w:sz w:val="20"/>
              </w:rPr>
              <w:t>Completion criterion</w:t>
              <w:br/>
            </w:r>
            <w:r>
              <w:rPr>
                <w:rFonts w:ascii="Aptos" w:hAnsi="Aptos"/>
                <w:sz w:val="19"/>
              </w:rPr>
              <w:t>The implementation is acceptable only when the same input context and previous status produce the same Monthly Status, reason and evidence in paper, live-decision simulation, backtest and replay.</w:t>
            </w:r>
          </w:p>
        </w:tc>
      </w:tr>
    </w:tbl>
    <w:p/>
    <w:p>
      <w:pPr>
        <w:pStyle w:val="Heading2"/>
      </w:pPr>
      <w:r>
        <w:t>1.1 Source material and precedence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008"/>
            <w:vAlign w:val="center"/>
            <w:shd w:fill="D9EAF7"/>
          </w:tcPr>
          <w:p>
            <w:pPr>
              <w:spacing w:after="0"/>
            </w:pPr>
            <w:r/>
            <w:r>
              <w:rPr>
                <w:rFonts w:ascii="Aptos" w:hAnsi="Aptos"/>
                <w:b/>
                <w:sz w:val="16"/>
              </w:rPr>
              <w:t>Priority</w:t>
            </w:r>
          </w:p>
        </w:tc>
        <w:tc>
          <w:tcPr>
            <w:tcW w:type="dxa" w:w="4608"/>
            <w:vAlign w:val="center"/>
            <w:shd w:fill="D9EAF7"/>
          </w:tcPr>
          <w:p>
            <w:pPr>
              <w:spacing w:after="0"/>
            </w:pPr>
            <w:r/>
            <w:r>
              <w:rPr>
                <w:rFonts w:ascii="Aptos" w:hAnsi="Aptos"/>
                <w:b/>
                <w:sz w:val="16"/>
              </w:rPr>
              <w:t>Source</w:t>
            </w:r>
          </w:p>
        </w:tc>
        <w:tc>
          <w:tcPr>
            <w:tcW w:type="dxa" w:w="5472"/>
            <w:vAlign w:val="center"/>
            <w:shd w:fill="D9EAF7"/>
          </w:tcPr>
          <w:p>
            <w:pPr>
              <w:spacing w:after="0"/>
            </w:pPr>
            <w:r/>
            <w:r>
              <w:rPr>
                <w:rFonts w:ascii="Aptos" w:hAnsi="Aptos"/>
                <w:b/>
                <w:sz w:val="16"/>
              </w:rPr>
              <w:t>Use</w:t>
            </w:r>
          </w:p>
        </w:tc>
      </w:tr>
      <w:tr>
        <w:tc>
          <w:tcPr>
            <w:tcW w:type="dxa" w:w="1008"/>
            <w:vAlign w:val="center"/>
          </w:tcPr>
          <w:p>
            <w:pPr>
              <w:spacing w:after="0"/>
            </w:pPr>
            <w:r/>
            <w:r>
              <w:rPr>
                <w:rFonts w:ascii="Aptos" w:hAnsi="Aptos"/>
                <w:b w:val="0"/>
                <w:sz w:val="16"/>
              </w:rPr>
              <w:t>1</w:t>
            </w:r>
          </w:p>
        </w:tc>
        <w:tc>
          <w:tcPr>
            <w:tcW w:type="dxa" w:w="4608"/>
            <w:vAlign w:val="center"/>
          </w:tcPr>
          <w:p>
            <w:pPr>
              <w:spacing w:after="0"/>
            </w:pPr>
            <w:r/>
            <w:r>
              <w:rPr>
                <w:rFonts w:ascii="Aptos" w:hAnsi="Aptos"/>
                <w:b w:val="0"/>
                <w:sz w:val="16"/>
              </w:rPr>
              <w:t>This specification and explicit strategy-owner clarifications</w:t>
            </w:r>
          </w:p>
        </w:tc>
        <w:tc>
          <w:tcPr>
            <w:tcW w:type="dxa" w:w="5472"/>
            <w:vAlign w:val="center"/>
          </w:tcPr>
          <w:p>
            <w:pPr>
              <w:spacing w:after="0"/>
            </w:pPr>
            <w:r/>
            <w:r>
              <w:rPr>
                <w:rFonts w:ascii="Aptos" w:hAnsi="Aptos"/>
                <w:b w:val="0"/>
                <w:sz w:val="16"/>
              </w:rPr>
              <w:t>Current authority for Monthly Status behaviour.</w:t>
            </w:r>
          </w:p>
        </w:tc>
      </w:tr>
      <w:tr>
        <w:tc>
          <w:tcPr>
            <w:tcW w:type="dxa" w:w="1008"/>
            <w:vAlign w:val="center"/>
          </w:tcPr>
          <w:p>
            <w:pPr>
              <w:spacing w:after="0"/>
            </w:pPr>
            <w:r/>
            <w:r>
              <w:rPr>
                <w:rFonts w:ascii="Aptos" w:hAnsi="Aptos"/>
                <w:b w:val="0"/>
                <w:sz w:val="16"/>
              </w:rPr>
              <w:t>2</w:t>
            </w:r>
          </w:p>
        </w:tc>
        <w:tc>
          <w:tcPr>
            <w:tcW w:type="dxa" w:w="4608"/>
            <w:vAlign w:val="center"/>
          </w:tcPr>
          <w:p>
            <w:pPr>
              <w:spacing w:after="0"/>
            </w:pPr>
            <w:r/>
            <w:r>
              <w:rPr>
                <w:rFonts w:ascii="Aptos" w:hAnsi="Aptos"/>
                <w:b w:val="0"/>
                <w:sz w:val="16"/>
              </w:rPr>
              <w:t>All Segment Rules monthly-status diagrams</w:t>
            </w:r>
          </w:p>
        </w:tc>
        <w:tc>
          <w:tcPr>
            <w:tcW w:type="dxa" w:w="5472"/>
            <w:vAlign w:val="center"/>
          </w:tcPr>
          <w:p>
            <w:pPr>
              <w:spacing w:after="0"/>
            </w:pPr>
            <w:r/>
            <w:r>
              <w:rPr>
                <w:rFonts w:ascii="Aptos" w:hAnsi="Aptos"/>
                <w:b w:val="0"/>
                <w:sz w:val="16"/>
              </w:rPr>
              <w:t>Authoritative state-transition diagrams and segment thresholds.</w:t>
            </w:r>
          </w:p>
        </w:tc>
      </w:tr>
      <w:tr>
        <w:tc>
          <w:tcPr>
            <w:tcW w:type="dxa" w:w="1008"/>
            <w:vAlign w:val="center"/>
          </w:tcPr>
          <w:p>
            <w:pPr>
              <w:spacing w:after="0"/>
            </w:pPr>
            <w:r/>
            <w:r>
              <w:rPr>
                <w:rFonts w:ascii="Aptos" w:hAnsi="Aptos"/>
                <w:b w:val="0"/>
                <w:sz w:val="16"/>
              </w:rPr>
              <w:t>3</w:t>
            </w:r>
          </w:p>
        </w:tc>
        <w:tc>
          <w:tcPr>
            <w:tcW w:type="dxa" w:w="4608"/>
            <w:vAlign w:val="center"/>
          </w:tcPr>
          <w:p>
            <w:pPr>
              <w:spacing w:after="0"/>
            </w:pPr>
            <w:r/>
            <w:r>
              <w:rPr>
                <w:rFonts w:ascii="Aptos" w:hAnsi="Aptos"/>
                <w:b w:val="0"/>
                <w:sz w:val="16"/>
              </w:rPr>
              <w:t>Determine Monthly Status Manually (7-page walkthrough)</w:t>
            </w:r>
          </w:p>
        </w:tc>
        <w:tc>
          <w:tcPr>
            <w:tcW w:type="dxa" w:w="5472"/>
            <w:vAlign w:val="center"/>
          </w:tcPr>
          <w:p>
            <w:pPr>
              <w:spacing w:after="0"/>
            </w:pPr>
            <w:r/>
            <w:r>
              <w:rPr>
                <w:rFonts w:ascii="Aptos" w:hAnsi="Aptos"/>
                <w:b w:val="0"/>
                <w:sz w:val="16"/>
              </w:rPr>
              <w:t>Authoritative bootstrap example and explanatory narrative.</w:t>
            </w:r>
          </w:p>
        </w:tc>
      </w:tr>
      <w:tr>
        <w:tc>
          <w:tcPr>
            <w:tcW w:type="dxa" w:w="1008"/>
            <w:vAlign w:val="center"/>
          </w:tcPr>
          <w:p>
            <w:pPr>
              <w:spacing w:after="0"/>
            </w:pPr>
            <w:r/>
            <w:r>
              <w:rPr>
                <w:rFonts w:ascii="Aptos" w:hAnsi="Aptos"/>
                <w:b w:val="0"/>
                <w:sz w:val="16"/>
              </w:rPr>
              <w:t>4</w:t>
            </w:r>
          </w:p>
        </w:tc>
        <w:tc>
          <w:tcPr>
            <w:tcW w:type="dxa" w:w="4608"/>
            <w:vAlign w:val="center"/>
          </w:tcPr>
          <w:p>
            <w:pPr>
              <w:spacing w:after="0"/>
            </w:pPr>
            <w:r/>
            <w:r>
              <w:rPr>
                <w:rFonts w:ascii="Aptos" w:hAnsi="Aptos"/>
                <w:b w:val="0"/>
                <w:sz w:val="16"/>
              </w:rPr>
              <w:t>TFIS FTAS / Engineering Specification</w:t>
            </w:r>
          </w:p>
        </w:tc>
        <w:tc>
          <w:tcPr>
            <w:tcW w:type="dxa" w:w="5472"/>
            <w:vAlign w:val="center"/>
          </w:tcPr>
          <w:p>
            <w:pPr>
              <w:spacing w:after="0"/>
            </w:pPr>
            <w:r/>
            <w:r>
              <w:rPr>
                <w:rFonts w:ascii="Aptos" w:hAnsi="Aptos"/>
                <w:b w:val="0"/>
                <w:sz w:val="16"/>
              </w:rPr>
              <w:t>Architecture context; older open items are superseded here.</w:t>
            </w:r>
          </w:p>
        </w:tc>
      </w:tr>
      <w:tr>
        <w:tc>
          <w:tcPr>
            <w:tcW w:type="dxa" w:w="1008"/>
            <w:vAlign w:val="center"/>
          </w:tcPr>
          <w:p>
            <w:pPr>
              <w:spacing w:after="0"/>
            </w:pPr>
            <w:r/>
            <w:r>
              <w:rPr>
                <w:rFonts w:ascii="Aptos" w:hAnsi="Aptos"/>
                <w:b w:val="0"/>
                <w:sz w:val="16"/>
              </w:rPr>
              <w:t>5</w:t>
            </w:r>
          </w:p>
        </w:tc>
        <w:tc>
          <w:tcPr>
            <w:tcW w:type="dxa" w:w="4608"/>
            <w:vAlign w:val="center"/>
          </w:tcPr>
          <w:p>
            <w:pPr>
              <w:spacing w:after="0"/>
            </w:pPr>
            <w:r/>
            <w:r>
              <w:rPr>
                <w:rFonts w:ascii="Aptos" w:hAnsi="Aptos"/>
                <w:b w:val="0"/>
                <w:sz w:val="16"/>
              </w:rPr>
              <w:t>Existing code and tests</w:t>
            </w:r>
          </w:p>
        </w:tc>
        <w:tc>
          <w:tcPr>
            <w:tcW w:type="dxa" w:w="5472"/>
            <w:vAlign w:val="center"/>
          </w:tcPr>
          <w:p>
            <w:pPr>
              <w:spacing w:after="0"/>
            </w:pPr>
            <w:r/>
            <w:r>
              <w:rPr>
                <w:rFonts w:ascii="Aptos" w:hAnsi="Aptos"/>
                <w:b w:val="0"/>
                <w:sz w:val="16"/>
              </w:rPr>
              <w:t>Implementation evidence only; not proof of intended correctness.</w:t>
            </w:r>
          </w:p>
        </w:tc>
      </w:tr>
    </w:tbl>
    <w:p/>
    <w:tbl>
      <w:tblPr>
        <w:tblStyle w:val="TableGrid"/>
        <w:tblW w:type="auto" w:w="0"/>
        <w:tblLook w:firstColumn="1" w:firstRow="1" w:lastColumn="0" w:lastRow="0" w:noHBand="0" w:noVBand="1" w:val="04A0"/>
      </w:tblPr>
      <w:tblGrid>
        <w:gridCol w:w="10080"/>
      </w:tblGrid>
      <w:tr>
        <w:tc>
          <w:tcPr>
            <w:tcW w:type="dxa" w:w="10080"/>
            <w:shd w:fill="FCE4D6"/>
          </w:tcPr>
          <w:p>
            <w:pPr>
              <w:spacing w:after="0"/>
            </w:pPr>
            <w:r/>
            <w:r>
              <w:rPr>
                <w:rFonts w:ascii="Aptos" w:hAnsi="Aptos"/>
                <w:b/>
                <w:color w:val="1F4E79"/>
                <w:sz w:val="20"/>
              </w:rPr>
              <w:t>Known source typo</w:t>
              <w:br/>
            </w:r>
            <w:r>
              <w:rPr>
                <w:rFonts w:ascii="Aptos" w:hAnsi="Aptos"/>
                <w:sz w:val="19"/>
              </w:rPr>
              <w:t>The manual walkthrough states once that March 2026 is “Bullish Confirmed” after a downside breach. The surrounding calculations and subsequent explanation clearly establish the intended result as BEARISH CONFIRMED. This specification records the corrected meaning while preserving the fact that the source contains a typo.</w:t>
            </w:r>
          </w:p>
        </w:tc>
      </w:tr>
    </w:tbl>
    <w:p/>
    <w:p>
      <w:pPr>
        <w:pStyle w:val="Heading1"/>
      </w:pPr>
      <w:r>
        <w:t>2. Core Concept</w:t>
      </w:r>
    </w:p>
    <w:p>
      <w:r>
        <w:t>Monthly Status is a persistent, evaluation-driven state machine. It is not a daily trend indicator and it is not recalculated independently from scratch at every market tick. TFIS calculates or refreshes Monthly Status whenever it performs a fresh-order market evaluation. The previously established status is the starting state; CMP at that evaluation moment may cause one permitted transition. If no transition condition is satisfied, the state remains unchanged.</w:t>
      </w:r>
    </w:p>
    <w:p>
      <w:pPr>
        <w:pStyle w:val="ListBullet"/>
        <w:spacing w:after="40"/>
      </w:pPr>
      <w:r>
        <w:t>All TFIS strategies consume Monthly Status before selecting the Bull, Bull CF, Bear or Bear CF strategy branch.</w:t>
      </w:r>
    </w:p>
    <w:p>
      <w:pPr>
        <w:pStyle w:val="ListBullet"/>
        <w:spacing w:after="40"/>
      </w:pPr>
      <w:r>
        <w:t>Historical backward borrowing is used for initialization or recovery when no reliable prior status exists.</w:t>
      </w:r>
    </w:p>
    <w:p>
      <w:pPr>
        <w:pStyle w:val="ListBullet"/>
        <w:spacing w:after="40"/>
      </w:pPr>
      <w:r>
        <w:t>Routine evaluation uses the previously established status and the CMP at the current evaluation time.</w:t>
      </w:r>
    </w:p>
    <w:p>
      <w:pPr>
        <w:pStyle w:val="ListBullet"/>
        <w:spacing w:after="40"/>
      </w:pPr>
      <w:r>
        <w:t>The engine is path-dependent: the current state constrains which transition conditions are applicable.</w:t>
      </w:r>
    </w:p>
    <w:p>
      <w:pPr>
        <w:pStyle w:val="ListBullet"/>
        <w:spacing w:after="40"/>
      </w:pPr>
      <w:r>
        <w:t>UNKNOWN/UNAVAILABLE is not a tradeable branch and must suppress fresh orders.</w:t>
      </w:r>
    </w:p>
    <w:p>
      <w:pPr>
        <w:pStyle w:val="Heading2"/>
      </w:pPr>
      <w:r>
        <w:t>2.1 States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shd w:fill="D9EAF7"/>
          </w:tcPr>
          <w:p>
            <w:pPr>
              <w:spacing w:after="0"/>
            </w:pPr>
            <w:r/>
            <w:r>
              <w:rPr>
                <w:rFonts w:ascii="Aptos" w:hAnsi="Aptos"/>
                <w:b/>
                <w:sz w:val="16"/>
              </w:rPr>
              <w:t>State</w:t>
            </w:r>
          </w:p>
        </w:tc>
        <w:tc>
          <w:tcPr>
            <w:tcW w:type="dxa" w:w="5328"/>
            <w:vAlign w:val="center"/>
            <w:shd w:fill="D9EAF7"/>
          </w:tcPr>
          <w:p>
            <w:pPr>
              <w:spacing w:after="0"/>
            </w:pPr>
            <w:r/>
            <w:r>
              <w:rPr>
                <w:rFonts w:ascii="Aptos" w:hAnsi="Aptos"/>
                <w:b/>
                <w:sz w:val="16"/>
              </w:rPr>
              <w:t>Business meaning</w:t>
            </w:r>
          </w:p>
        </w:tc>
        <w:tc>
          <w:tcPr>
            <w:tcW w:type="dxa" w:w="4320"/>
            <w:vAlign w:val="center"/>
            <w:shd w:fill="D9EAF7"/>
          </w:tcPr>
          <w:p>
            <w:pPr>
              <w:spacing w:after="0"/>
            </w:pPr>
            <w:r/>
            <w:r>
              <w:rPr>
                <w:rFonts w:ascii="Aptos" w:hAnsi="Aptos"/>
                <w:b/>
                <w:sz w:val="16"/>
              </w:rPr>
              <w:t>Persistence rule</w:t>
            </w:r>
          </w:p>
        </w:tc>
      </w:tr>
      <w:tr>
        <w:tc>
          <w:tcPr>
            <w:tcW w:type="dxa" w:w="1440"/>
            <w:vAlign w:val="center"/>
          </w:tcPr>
          <w:p>
            <w:pPr>
              <w:spacing w:after="0"/>
            </w:pPr>
            <w:r/>
            <w:r>
              <w:rPr>
                <w:rFonts w:ascii="Aptos" w:hAnsi="Aptos"/>
                <w:b w:val="0"/>
                <w:sz w:val="16"/>
              </w:rPr>
              <w:t>BULL</w:t>
            </w:r>
          </w:p>
        </w:tc>
        <w:tc>
          <w:tcPr>
            <w:tcW w:type="dxa" w:w="5328"/>
            <w:vAlign w:val="center"/>
          </w:tcPr>
          <w:p>
            <w:pPr>
              <w:spacing w:after="0"/>
            </w:pPr>
            <w:r/>
            <w:r>
              <w:rPr>
                <w:rFonts w:ascii="Aptos" w:hAnsi="Aptos"/>
                <w:b w:val="0"/>
                <w:sz w:val="16"/>
              </w:rPr>
              <w:t>Unconfirmed bullish monthly state.</w:t>
            </w:r>
          </w:p>
        </w:tc>
        <w:tc>
          <w:tcPr>
            <w:tcW w:type="dxa" w:w="4320"/>
            <w:vAlign w:val="center"/>
          </w:tcPr>
          <w:p>
            <w:pPr>
              <w:spacing w:after="0"/>
            </w:pPr>
            <w:r/>
            <w:r>
              <w:rPr>
                <w:rFonts w:ascii="Aptos" w:hAnsi="Aptos"/>
                <w:b w:val="0"/>
                <w:sz w:val="16"/>
              </w:rPr>
              <w:t>Remains BULL until bullish confirmation or a valid bearish reversal.</w:t>
            </w:r>
          </w:p>
        </w:tc>
      </w:tr>
      <w:tr>
        <w:tc>
          <w:tcPr>
            <w:tcW w:type="dxa" w:w="1440"/>
            <w:vAlign w:val="center"/>
          </w:tcPr>
          <w:p>
            <w:pPr>
              <w:spacing w:after="0"/>
            </w:pPr>
            <w:r/>
            <w:r>
              <w:rPr>
                <w:rFonts w:ascii="Aptos" w:hAnsi="Aptos"/>
                <w:b w:val="0"/>
                <w:sz w:val="16"/>
              </w:rPr>
              <w:t>BULL_CF</w:t>
            </w:r>
          </w:p>
        </w:tc>
        <w:tc>
          <w:tcPr>
            <w:tcW w:type="dxa" w:w="5328"/>
            <w:vAlign w:val="center"/>
          </w:tcPr>
          <w:p>
            <w:pPr>
              <w:spacing w:after="0"/>
            </w:pPr>
            <w:r/>
            <w:r>
              <w:rPr>
                <w:rFonts w:ascii="Aptos" w:hAnsi="Aptos"/>
                <w:b w:val="0"/>
                <w:sz w:val="16"/>
              </w:rPr>
              <w:t>Bullish Confirmed. No further favourable confirmation is required.</w:t>
            </w:r>
          </w:p>
        </w:tc>
        <w:tc>
          <w:tcPr>
            <w:tcW w:type="dxa" w:w="4320"/>
            <w:vAlign w:val="center"/>
          </w:tcPr>
          <w:p>
            <w:pPr>
              <w:spacing w:after="0"/>
            </w:pPr>
            <w:r/>
            <w:r>
              <w:rPr>
                <w:rFonts w:ascii="Aptos" w:hAnsi="Aptos"/>
                <w:b w:val="0"/>
                <w:sz w:val="16"/>
              </w:rPr>
              <w:t>Remains BULL_CF until the confirmed-state bearish reversal threshold is met.</w:t>
            </w:r>
          </w:p>
        </w:tc>
      </w:tr>
      <w:tr>
        <w:tc>
          <w:tcPr>
            <w:tcW w:type="dxa" w:w="1440"/>
            <w:vAlign w:val="center"/>
          </w:tcPr>
          <w:p>
            <w:pPr>
              <w:spacing w:after="0"/>
            </w:pPr>
            <w:r/>
            <w:r>
              <w:rPr>
                <w:rFonts w:ascii="Aptos" w:hAnsi="Aptos"/>
                <w:b w:val="0"/>
                <w:sz w:val="16"/>
              </w:rPr>
              <w:t>BEAR</w:t>
            </w:r>
          </w:p>
        </w:tc>
        <w:tc>
          <w:tcPr>
            <w:tcW w:type="dxa" w:w="5328"/>
            <w:vAlign w:val="center"/>
          </w:tcPr>
          <w:p>
            <w:pPr>
              <w:spacing w:after="0"/>
            </w:pPr>
            <w:r/>
            <w:r>
              <w:rPr>
                <w:rFonts w:ascii="Aptos" w:hAnsi="Aptos"/>
                <w:b w:val="0"/>
                <w:sz w:val="16"/>
              </w:rPr>
              <w:t>Unconfirmed bearish monthly state.</w:t>
            </w:r>
          </w:p>
        </w:tc>
        <w:tc>
          <w:tcPr>
            <w:tcW w:type="dxa" w:w="4320"/>
            <w:vAlign w:val="center"/>
          </w:tcPr>
          <w:p>
            <w:pPr>
              <w:spacing w:after="0"/>
            </w:pPr>
            <w:r/>
            <w:r>
              <w:rPr>
                <w:rFonts w:ascii="Aptos" w:hAnsi="Aptos"/>
                <w:b w:val="0"/>
                <w:sz w:val="16"/>
              </w:rPr>
              <w:t>Remains BEAR until bearish confirmation or a valid bullish reversal.</w:t>
            </w:r>
          </w:p>
        </w:tc>
      </w:tr>
      <w:tr>
        <w:tc>
          <w:tcPr>
            <w:tcW w:type="dxa" w:w="1440"/>
            <w:vAlign w:val="center"/>
          </w:tcPr>
          <w:p>
            <w:pPr>
              <w:spacing w:after="0"/>
            </w:pPr>
            <w:r/>
            <w:r>
              <w:rPr>
                <w:rFonts w:ascii="Aptos" w:hAnsi="Aptos"/>
                <w:b w:val="0"/>
                <w:sz w:val="16"/>
              </w:rPr>
              <w:t>BEAR_CF</w:t>
            </w:r>
          </w:p>
        </w:tc>
        <w:tc>
          <w:tcPr>
            <w:tcW w:type="dxa" w:w="5328"/>
            <w:vAlign w:val="center"/>
          </w:tcPr>
          <w:p>
            <w:pPr>
              <w:spacing w:after="0"/>
            </w:pPr>
            <w:r/>
            <w:r>
              <w:rPr>
                <w:rFonts w:ascii="Aptos" w:hAnsi="Aptos"/>
                <w:b w:val="0"/>
                <w:sz w:val="16"/>
              </w:rPr>
              <w:t>Bearish Confirmed. No further favourable confirmation is required.</w:t>
            </w:r>
          </w:p>
        </w:tc>
        <w:tc>
          <w:tcPr>
            <w:tcW w:type="dxa" w:w="4320"/>
            <w:vAlign w:val="center"/>
          </w:tcPr>
          <w:p>
            <w:pPr>
              <w:spacing w:after="0"/>
            </w:pPr>
            <w:r/>
            <w:r>
              <w:rPr>
                <w:rFonts w:ascii="Aptos" w:hAnsi="Aptos"/>
                <w:b w:val="0"/>
                <w:sz w:val="16"/>
              </w:rPr>
              <w:t>Remains BEAR_CF until the confirmed-state bullish reversal threshold is met.</w:t>
            </w:r>
          </w:p>
        </w:tc>
      </w:tr>
      <w:tr>
        <w:tc>
          <w:tcPr>
            <w:tcW w:type="dxa" w:w="1440"/>
            <w:vAlign w:val="center"/>
          </w:tcPr>
          <w:p>
            <w:pPr>
              <w:spacing w:after="0"/>
            </w:pPr>
            <w:r/>
            <w:r>
              <w:rPr>
                <w:rFonts w:ascii="Aptos" w:hAnsi="Aptos"/>
                <w:b w:val="0"/>
                <w:sz w:val="16"/>
              </w:rPr>
              <w:t>UNKNOWN</w:t>
            </w:r>
          </w:p>
        </w:tc>
        <w:tc>
          <w:tcPr>
            <w:tcW w:type="dxa" w:w="5328"/>
            <w:vAlign w:val="center"/>
          </w:tcPr>
          <w:p>
            <w:pPr>
              <w:spacing w:after="0"/>
            </w:pPr>
            <w:r/>
            <w:r>
              <w:rPr>
                <w:rFonts w:ascii="Aptos" w:hAnsi="Aptos"/>
                <w:b w:val="0"/>
                <w:sz w:val="16"/>
              </w:rPr>
              <w:t>The current month alone does not establish a state during bootstrap.</w:t>
            </w:r>
          </w:p>
        </w:tc>
        <w:tc>
          <w:tcPr>
            <w:tcW w:type="dxa" w:w="4320"/>
            <w:vAlign w:val="center"/>
          </w:tcPr>
          <w:p>
            <w:pPr>
              <w:spacing w:after="0"/>
            </w:pPr>
            <w:r/>
            <w:r>
              <w:rPr>
                <w:rFonts w:ascii="Aptos" w:hAnsi="Aptos"/>
                <w:b w:val="0"/>
                <w:sz w:val="16"/>
              </w:rPr>
              <w:t>Borrow the previous month state; not persisted as a tradeable final status.</w:t>
            </w:r>
          </w:p>
        </w:tc>
      </w:tr>
      <w:tr>
        <w:tc>
          <w:tcPr>
            <w:tcW w:type="dxa" w:w="1440"/>
            <w:vAlign w:val="center"/>
          </w:tcPr>
          <w:p>
            <w:pPr>
              <w:spacing w:after="0"/>
            </w:pPr>
            <w:r/>
            <w:r>
              <w:rPr>
                <w:rFonts w:ascii="Aptos" w:hAnsi="Aptos"/>
                <w:b w:val="0"/>
                <w:sz w:val="16"/>
              </w:rPr>
              <w:t>UNAVAILABLE</w:t>
            </w:r>
          </w:p>
        </w:tc>
        <w:tc>
          <w:tcPr>
            <w:tcW w:type="dxa" w:w="5328"/>
            <w:vAlign w:val="center"/>
          </w:tcPr>
          <w:p>
            <w:pPr>
              <w:spacing w:after="0"/>
            </w:pPr>
            <w:r/>
            <w:r>
              <w:rPr>
                <w:rFonts w:ascii="Aptos" w:hAnsi="Aptos"/>
                <w:b w:val="0"/>
                <w:sz w:val="16"/>
              </w:rPr>
              <w:t>Sufficient evidence cannot be obtained safely.</w:t>
            </w:r>
          </w:p>
        </w:tc>
        <w:tc>
          <w:tcPr>
            <w:tcW w:type="dxa" w:w="4320"/>
            <w:vAlign w:val="center"/>
          </w:tcPr>
          <w:p>
            <w:pPr>
              <w:spacing w:after="0"/>
            </w:pPr>
            <w:r/>
            <w:r>
              <w:rPr>
                <w:rFonts w:ascii="Aptos" w:hAnsi="Aptos"/>
                <w:b w:val="0"/>
                <w:sz w:val="16"/>
              </w:rPr>
              <w:t>Suppress fresh orders and expose the reason.</w:t>
            </w:r>
          </w:p>
        </w:tc>
      </w:tr>
    </w:tbl>
    <w:p/>
    <w:p>
      <w:pPr>
        <w:pStyle w:val="Heading1"/>
      </w:pPr>
      <w:r>
        <w:t>3. Definitions and Data Semantics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vAlign w:val="center"/>
            <w:shd w:fill="D9EAF7"/>
          </w:tcPr>
          <w:p>
            <w:pPr>
              <w:spacing w:after="0"/>
            </w:pPr>
            <w:r/>
            <w:r>
              <w:rPr>
                <w:rFonts w:ascii="Aptos" w:hAnsi="Aptos"/>
                <w:b/>
                <w:sz w:val="16"/>
              </w:rPr>
              <w:t>Token</w:t>
            </w:r>
          </w:p>
        </w:tc>
        <w:tc>
          <w:tcPr>
            <w:tcW w:type="dxa" w:w="6336"/>
            <w:vAlign w:val="center"/>
            <w:shd w:fill="D9EAF7"/>
          </w:tcPr>
          <w:p>
            <w:pPr>
              <w:spacing w:after="0"/>
            </w:pPr>
            <w:r/>
            <w:r>
              <w:rPr>
                <w:rFonts w:ascii="Aptos" w:hAnsi="Aptos"/>
                <w:b/>
                <w:sz w:val="16"/>
              </w:rPr>
              <w:t>Definition</w:t>
            </w:r>
          </w:p>
        </w:tc>
        <w:tc>
          <w:tcPr>
            <w:tcW w:type="dxa" w:w="3024"/>
            <w:vAlign w:val="center"/>
            <w:shd w:fill="D9EAF7"/>
          </w:tcPr>
          <w:p>
            <w:pPr>
              <w:spacing w:after="0"/>
            </w:pPr>
            <w:r/>
            <w:r>
              <w:rPr>
                <w:rFonts w:ascii="Aptos" w:hAnsi="Aptos"/>
                <w:b/>
                <w:sz w:val="16"/>
              </w:rPr>
              <w:t>Reset / time behaviour</w:t>
            </w:r>
          </w:p>
        </w:tc>
      </w:tr>
      <w:tr>
        <w:tc>
          <w:tcPr>
            <w:tcW w:type="dxa" w:w="1800"/>
            <w:vAlign w:val="center"/>
          </w:tcPr>
          <w:p>
            <w:pPr>
              <w:spacing w:after="0"/>
            </w:pPr>
            <w:r/>
            <w:r>
              <w:rPr>
                <w:rFonts w:ascii="Aptos" w:hAnsi="Aptos"/>
                <w:b w:val="0"/>
                <w:sz w:val="16"/>
              </w:rPr>
              <w:t>CMP</w:t>
            </w:r>
          </w:p>
        </w:tc>
        <w:tc>
          <w:tcPr>
            <w:tcW w:type="dxa" w:w="6336"/>
            <w:vAlign w:val="center"/>
          </w:tcPr>
          <w:p>
            <w:pPr>
              <w:spacing w:after="0"/>
            </w:pPr>
            <w:r/>
            <w:r>
              <w:rPr>
                <w:rFonts w:ascii="Aptos" w:hAnsi="Aptos"/>
                <w:b w:val="0"/>
                <w:sz w:val="16"/>
              </w:rPr>
              <w:t>Current Market Price at the TFIS evaluation moment, from the authoritative segment-specific source.</w:t>
            </w:r>
          </w:p>
        </w:tc>
        <w:tc>
          <w:tcPr>
            <w:tcW w:type="dxa" w:w="3024"/>
            <w:vAlign w:val="center"/>
          </w:tcPr>
          <w:p>
            <w:pPr>
              <w:spacing w:after="0"/>
            </w:pPr>
            <w:r/>
            <w:r>
              <w:rPr>
                <w:rFonts w:ascii="Aptos" w:hAnsi="Aptos"/>
                <w:b w:val="0"/>
                <w:sz w:val="16"/>
              </w:rPr>
              <w:t>New value for each fresh-order evaluation.</w:t>
            </w:r>
          </w:p>
        </w:tc>
      </w:tr>
      <w:tr>
        <w:tc>
          <w:tcPr>
            <w:tcW w:type="dxa" w:w="1800"/>
            <w:vAlign w:val="center"/>
          </w:tcPr>
          <w:p>
            <w:pPr>
              <w:spacing w:after="0"/>
            </w:pPr>
            <w:r/>
            <w:r>
              <w:rPr>
                <w:rFonts w:ascii="Aptos" w:hAnsi="Aptos"/>
                <w:b w:val="0"/>
                <w:sz w:val="16"/>
              </w:rPr>
              <w:t>PMH / PML</w:t>
            </w:r>
          </w:p>
        </w:tc>
        <w:tc>
          <w:tcPr>
            <w:tcW w:type="dxa" w:w="6336"/>
            <w:vAlign w:val="center"/>
          </w:tcPr>
          <w:p>
            <w:pPr>
              <w:spacing w:after="0"/>
            </w:pPr>
            <w:r/>
            <w:r>
              <w:rPr>
                <w:rFonts w:ascii="Aptos" w:hAnsi="Aptos"/>
                <w:b w:val="0"/>
                <w:sz w:val="16"/>
              </w:rPr>
              <w:t>Previous calendar/trading month High / Low.</w:t>
            </w:r>
          </w:p>
        </w:tc>
        <w:tc>
          <w:tcPr>
            <w:tcW w:type="dxa" w:w="3024"/>
            <w:vAlign w:val="center"/>
          </w:tcPr>
          <w:p>
            <w:pPr>
              <w:spacing w:after="0"/>
            </w:pPr>
            <w:r/>
            <w:r>
              <w:rPr>
                <w:rFonts w:ascii="Aptos" w:hAnsi="Aptos"/>
                <w:b w:val="0"/>
                <w:sz w:val="16"/>
              </w:rPr>
              <w:t>Immutable for the current month.</w:t>
            </w:r>
          </w:p>
        </w:tc>
      </w:tr>
      <w:tr>
        <w:tc>
          <w:tcPr>
            <w:tcW w:type="dxa" w:w="1800"/>
            <w:vAlign w:val="center"/>
          </w:tcPr>
          <w:p>
            <w:pPr>
              <w:spacing w:after="0"/>
            </w:pPr>
            <w:r/>
            <w:r>
              <w:rPr>
                <w:rFonts w:ascii="Aptos" w:hAnsi="Aptos"/>
                <w:b w:val="0"/>
                <w:sz w:val="16"/>
              </w:rPr>
              <w:t>CMH / CML</w:t>
            </w:r>
          </w:p>
        </w:tc>
        <w:tc>
          <w:tcPr>
            <w:tcW w:type="dxa" w:w="6336"/>
            <w:vAlign w:val="center"/>
          </w:tcPr>
          <w:p>
            <w:pPr>
              <w:spacing w:after="0"/>
            </w:pPr>
            <w:r/>
            <w:r>
              <w:rPr>
                <w:rFonts w:ascii="Aptos" w:hAnsi="Aptos"/>
                <w:b w:val="0"/>
                <w:sz w:val="16"/>
              </w:rPr>
              <w:t>Current month High / Low up to the evaluation time.</w:t>
            </w:r>
          </w:p>
        </w:tc>
        <w:tc>
          <w:tcPr>
            <w:tcW w:type="dxa" w:w="3024"/>
            <w:vAlign w:val="center"/>
          </w:tcPr>
          <w:p>
            <w:pPr>
              <w:spacing w:after="0"/>
            </w:pPr>
            <w:r/>
            <w:r>
              <w:rPr>
                <w:rFonts w:ascii="Aptos" w:hAnsi="Aptos"/>
                <w:b w:val="0"/>
                <w:sz w:val="16"/>
              </w:rPr>
              <w:t>Reset at start of each new month.</w:t>
            </w:r>
          </w:p>
        </w:tc>
      </w:tr>
      <w:tr>
        <w:tc>
          <w:tcPr>
            <w:tcW w:type="dxa" w:w="1800"/>
            <w:vAlign w:val="center"/>
          </w:tcPr>
          <w:p>
            <w:pPr>
              <w:spacing w:after="0"/>
            </w:pPr>
            <w:r/>
            <w:r>
              <w:rPr>
                <w:rFonts w:ascii="Aptos" w:hAnsi="Aptos"/>
                <w:b w:val="0"/>
                <w:sz w:val="16"/>
              </w:rPr>
              <w:t>PWH / PWL</w:t>
            </w:r>
          </w:p>
        </w:tc>
        <w:tc>
          <w:tcPr>
            <w:tcW w:type="dxa" w:w="6336"/>
            <w:vAlign w:val="center"/>
          </w:tcPr>
          <w:p>
            <w:pPr>
              <w:spacing w:after="0"/>
            </w:pPr>
            <w:r/>
            <w:r>
              <w:rPr>
                <w:rFonts w:ascii="Aptos" w:hAnsi="Aptos"/>
                <w:b w:val="0"/>
                <w:sz w:val="16"/>
              </w:rPr>
              <w:t>Previous week High / Low.</w:t>
            </w:r>
          </w:p>
        </w:tc>
        <w:tc>
          <w:tcPr>
            <w:tcW w:type="dxa" w:w="3024"/>
            <w:vAlign w:val="center"/>
          </w:tcPr>
          <w:p>
            <w:pPr>
              <w:spacing w:after="0"/>
            </w:pPr>
            <w:r/>
            <w:r>
              <w:rPr>
                <w:rFonts w:ascii="Aptos" w:hAnsi="Aptos"/>
                <w:b w:val="0"/>
                <w:sz w:val="16"/>
              </w:rPr>
              <w:t>Immutable for the current week.</w:t>
            </w:r>
          </w:p>
        </w:tc>
      </w:tr>
      <w:tr>
        <w:tc>
          <w:tcPr>
            <w:tcW w:type="dxa" w:w="1800"/>
            <w:vAlign w:val="center"/>
          </w:tcPr>
          <w:p>
            <w:pPr>
              <w:spacing w:after="0"/>
            </w:pPr>
            <w:r/>
            <w:r>
              <w:rPr>
                <w:rFonts w:ascii="Aptos" w:hAnsi="Aptos"/>
                <w:b w:val="0"/>
                <w:sz w:val="16"/>
              </w:rPr>
              <w:t>CWH / CWL</w:t>
            </w:r>
          </w:p>
        </w:tc>
        <w:tc>
          <w:tcPr>
            <w:tcW w:type="dxa" w:w="6336"/>
            <w:vAlign w:val="center"/>
          </w:tcPr>
          <w:p>
            <w:pPr>
              <w:spacing w:after="0"/>
            </w:pPr>
            <w:r/>
            <w:r>
              <w:rPr>
                <w:rFonts w:ascii="Aptos" w:hAnsi="Aptos"/>
                <w:b w:val="0"/>
                <w:sz w:val="16"/>
              </w:rPr>
              <w:t>Current week High / Low up to the evaluation time.</w:t>
            </w:r>
          </w:p>
        </w:tc>
        <w:tc>
          <w:tcPr>
            <w:tcW w:type="dxa" w:w="3024"/>
            <w:vAlign w:val="center"/>
          </w:tcPr>
          <w:p>
            <w:pPr>
              <w:spacing w:after="0"/>
            </w:pPr>
            <w:r/>
            <w:r>
              <w:rPr>
                <w:rFonts w:ascii="Aptos" w:hAnsi="Aptos"/>
                <w:b w:val="0"/>
                <w:sz w:val="16"/>
              </w:rPr>
              <w:t>Reset at start of each new week.</w:t>
            </w:r>
          </w:p>
        </w:tc>
      </w:tr>
      <w:tr>
        <w:tc>
          <w:tcPr>
            <w:tcW w:type="dxa" w:w="1800"/>
            <w:vAlign w:val="center"/>
          </w:tcPr>
          <w:p>
            <w:pPr>
              <w:spacing w:after="0"/>
            </w:pPr>
            <w:r/>
            <w:r>
              <w:rPr>
                <w:rFonts w:ascii="Aptos" w:hAnsi="Aptos"/>
                <w:b w:val="0"/>
                <w:sz w:val="16"/>
              </w:rPr>
              <w:t>a%</w:t>
            </w:r>
          </w:p>
        </w:tc>
        <w:tc>
          <w:tcPr>
            <w:tcW w:type="dxa" w:w="6336"/>
            <w:vAlign w:val="center"/>
          </w:tcPr>
          <w:p>
            <w:pPr>
              <w:spacing w:after="0"/>
            </w:pPr>
            <w:r/>
            <w:r>
              <w:rPr>
                <w:rFonts w:ascii="Aptos" w:hAnsi="Aptos"/>
                <w:b w:val="0"/>
                <w:sz w:val="16"/>
              </w:rPr>
              <w:t>Primary previous-month breach buffer.</w:t>
            </w:r>
          </w:p>
        </w:tc>
        <w:tc>
          <w:tcPr>
            <w:tcW w:type="dxa" w:w="3024"/>
            <w:vAlign w:val="center"/>
          </w:tcPr>
          <w:p>
            <w:pPr>
              <w:spacing w:after="0"/>
            </w:pPr>
            <w:r/>
            <w:r>
              <w:rPr>
                <w:rFonts w:ascii="Aptos" w:hAnsi="Aptos"/>
                <w:b w:val="0"/>
                <w:sz w:val="16"/>
              </w:rPr>
              <w:t>Segment/instrument configuration.</w:t>
            </w:r>
          </w:p>
        </w:tc>
      </w:tr>
      <w:tr>
        <w:tc>
          <w:tcPr>
            <w:tcW w:type="dxa" w:w="1800"/>
            <w:vAlign w:val="center"/>
          </w:tcPr>
          <w:p>
            <w:pPr>
              <w:spacing w:after="0"/>
            </w:pPr>
            <w:r/>
            <w:r>
              <w:rPr>
                <w:rFonts w:ascii="Aptos" w:hAnsi="Aptos"/>
                <w:b w:val="0"/>
                <w:sz w:val="16"/>
              </w:rPr>
              <w:t>b%</w:t>
            </w:r>
          </w:p>
        </w:tc>
        <w:tc>
          <w:tcPr>
            <w:tcW w:type="dxa" w:w="6336"/>
            <w:vAlign w:val="center"/>
          </w:tcPr>
          <w:p>
            <w:pPr>
              <w:spacing w:after="0"/>
            </w:pPr>
            <w:r/>
            <w:r>
              <w:rPr>
                <w:rFonts w:ascii="Aptos" w:hAnsi="Aptos"/>
                <w:b w:val="0"/>
                <w:sz w:val="16"/>
              </w:rPr>
              <w:t>Continuation/confirmation buffer beyond Bullish/Bearish Value.</w:t>
            </w:r>
          </w:p>
        </w:tc>
        <w:tc>
          <w:tcPr>
            <w:tcW w:type="dxa" w:w="3024"/>
            <w:vAlign w:val="center"/>
          </w:tcPr>
          <w:p>
            <w:pPr>
              <w:spacing w:after="0"/>
            </w:pPr>
            <w:r/>
            <w:r>
              <w:rPr>
                <w:rFonts w:ascii="Aptos" w:hAnsi="Aptos"/>
                <w:b w:val="0"/>
                <w:sz w:val="16"/>
              </w:rPr>
              <w:t>Segment/instrument configuration.</w:t>
            </w:r>
          </w:p>
        </w:tc>
      </w:tr>
      <w:tr>
        <w:tc>
          <w:tcPr>
            <w:tcW w:type="dxa" w:w="1800"/>
            <w:vAlign w:val="center"/>
          </w:tcPr>
          <w:p>
            <w:pPr>
              <w:spacing w:after="0"/>
            </w:pPr>
            <w:r/>
            <w:r>
              <w:rPr>
                <w:rFonts w:ascii="Aptos" w:hAnsi="Aptos"/>
                <w:b w:val="0"/>
                <w:sz w:val="16"/>
              </w:rPr>
              <w:t>c%</w:t>
            </w:r>
          </w:p>
        </w:tc>
        <w:tc>
          <w:tcPr>
            <w:tcW w:type="dxa" w:w="6336"/>
            <w:vAlign w:val="center"/>
          </w:tcPr>
          <w:p>
            <w:pPr>
              <w:spacing w:after="0"/>
            </w:pPr>
            <w:r/>
            <w:r>
              <w:rPr>
                <w:rFonts w:ascii="Aptos" w:hAnsi="Aptos"/>
                <w:b w:val="0"/>
                <w:sz w:val="16"/>
              </w:rPr>
              <w:t>Weekly reversal buffer for unconfirmed Bull/Bear states.</w:t>
            </w:r>
          </w:p>
        </w:tc>
        <w:tc>
          <w:tcPr>
            <w:tcW w:type="dxa" w:w="3024"/>
            <w:vAlign w:val="center"/>
          </w:tcPr>
          <w:p>
            <w:pPr>
              <w:spacing w:after="0"/>
            </w:pPr>
            <w:r/>
            <w:r>
              <w:rPr>
                <w:rFonts w:ascii="Aptos" w:hAnsi="Aptos"/>
                <w:b w:val="0"/>
                <w:sz w:val="16"/>
              </w:rPr>
              <w:t>Segment/instrument configuration.</w:t>
            </w:r>
          </w:p>
        </w:tc>
      </w:tr>
      <w:tr>
        <w:tc>
          <w:tcPr>
            <w:tcW w:type="dxa" w:w="1800"/>
            <w:vAlign w:val="center"/>
          </w:tcPr>
          <w:p>
            <w:pPr>
              <w:spacing w:after="0"/>
            </w:pPr>
            <w:r/>
            <w:r>
              <w:rPr>
                <w:rFonts w:ascii="Aptos" w:hAnsi="Aptos"/>
                <w:b w:val="0"/>
                <w:sz w:val="16"/>
              </w:rPr>
              <w:t>Bullish Value</w:t>
            </w:r>
          </w:p>
        </w:tc>
        <w:tc>
          <w:tcPr>
            <w:tcW w:type="dxa" w:w="6336"/>
            <w:vAlign w:val="center"/>
          </w:tcPr>
          <w:p>
            <w:pPr>
              <w:spacing w:after="0"/>
            </w:pPr>
            <w:r/>
            <w:r>
              <w:rPr>
                <w:rFonts w:ascii="Aptos" w:hAnsi="Aptos"/>
                <w:b w:val="0"/>
                <w:sz w:val="16"/>
              </w:rPr>
              <w:t>PMH + a%.</w:t>
            </w:r>
          </w:p>
        </w:tc>
        <w:tc>
          <w:tcPr>
            <w:tcW w:type="dxa" w:w="3024"/>
            <w:vAlign w:val="center"/>
          </w:tcPr>
          <w:p>
            <w:pPr>
              <w:spacing w:after="0"/>
            </w:pPr>
            <w:r/>
            <w:r>
              <w:rPr>
                <w:rFonts w:ascii="Aptos" w:hAnsi="Aptos"/>
                <w:b w:val="0"/>
                <w:sz w:val="16"/>
              </w:rPr>
              <w:t>Calculated from current month’s previous-month reference.</w:t>
            </w:r>
          </w:p>
        </w:tc>
      </w:tr>
      <w:tr>
        <w:tc>
          <w:tcPr>
            <w:tcW w:type="dxa" w:w="1800"/>
            <w:vAlign w:val="center"/>
          </w:tcPr>
          <w:p>
            <w:pPr>
              <w:spacing w:after="0"/>
            </w:pPr>
            <w:r/>
            <w:r>
              <w:rPr>
                <w:rFonts w:ascii="Aptos" w:hAnsi="Aptos"/>
                <w:b w:val="0"/>
                <w:sz w:val="16"/>
              </w:rPr>
              <w:t>Bearish Value</w:t>
            </w:r>
          </w:p>
        </w:tc>
        <w:tc>
          <w:tcPr>
            <w:tcW w:type="dxa" w:w="6336"/>
            <w:vAlign w:val="center"/>
          </w:tcPr>
          <w:p>
            <w:pPr>
              <w:spacing w:after="0"/>
            </w:pPr>
            <w:r/>
            <w:r>
              <w:rPr>
                <w:rFonts w:ascii="Aptos" w:hAnsi="Aptos"/>
                <w:b w:val="0"/>
                <w:sz w:val="16"/>
              </w:rPr>
              <w:t>PML - a%.</w:t>
            </w:r>
          </w:p>
        </w:tc>
        <w:tc>
          <w:tcPr>
            <w:tcW w:type="dxa" w:w="3024"/>
            <w:vAlign w:val="center"/>
          </w:tcPr>
          <w:p>
            <w:pPr>
              <w:spacing w:after="0"/>
            </w:pPr>
            <w:r/>
            <w:r>
              <w:rPr>
                <w:rFonts w:ascii="Aptos" w:hAnsi="Aptos"/>
                <w:b w:val="0"/>
                <w:sz w:val="16"/>
              </w:rPr>
              <w:t>Calculated from current month’s previous-month reference.</w:t>
            </w:r>
          </w:p>
        </w:tc>
      </w:tr>
    </w:tbl>
    <w:p/>
    <w:tbl>
      <w:tblPr>
        <w:tblStyle w:val="TableGrid"/>
        <w:tblW w:type="auto" w:w="0"/>
        <w:tblLook w:firstColumn="1" w:firstRow="1" w:lastColumn="0" w:lastRow="0" w:noHBand="0" w:noVBand="1" w:val="04A0"/>
      </w:tblPr>
      <w:tblGrid>
        <w:gridCol w:w="10080"/>
      </w:tblGrid>
      <w:tr>
        <w:tc>
          <w:tcPr>
            <w:tcW w:type="dxa" w:w="10080"/>
            <w:shd w:fill="EAF2F8"/>
          </w:tcPr>
          <w:p>
            <w:pPr>
              <w:spacing w:after="0"/>
            </w:pPr>
            <w:r/>
            <w:r>
              <w:rPr>
                <w:rFonts w:ascii="Aptos" w:hAnsi="Aptos"/>
                <w:b/>
                <w:color w:val="1F4E79"/>
                <w:sz w:val="20"/>
              </w:rPr>
              <w:t>Percentage convention</w:t>
              <w:br/>
            </w:r>
            <w:r>
              <w:rPr>
                <w:rFonts w:ascii="Aptos" w:hAnsi="Aptos"/>
                <w:sz w:val="19"/>
              </w:rPr>
              <w:t>“Reference + x%” means Reference × (1 + x/100). “Reference - x%” means Reference × (1 - x/100). Apply the buffer to the named reference, not to CMP and not as an absolute point value.</w:t>
            </w:r>
          </w:p>
        </w:tc>
      </w:tr>
    </w:tbl>
    <w:p/>
    <w:p>
      <w:pPr>
        <w:pStyle w:val="Heading2"/>
      </w:pPr>
      <w:r>
        <w:t>3.1 Authoritative CMP source by strategy segment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608"/>
            <w:vAlign w:val="center"/>
            <w:shd w:fill="D9EAF7"/>
          </w:tcPr>
          <w:p>
            <w:pPr>
              <w:spacing w:after="0"/>
            </w:pPr>
            <w:r/>
            <w:r>
              <w:rPr>
                <w:rFonts w:ascii="Aptos" w:hAnsi="Aptos"/>
                <w:b/>
                <w:sz w:val="16"/>
              </w:rPr>
              <w:t>Strategy family</w:t>
            </w:r>
          </w:p>
        </w:tc>
        <w:tc>
          <w:tcPr>
            <w:tcW w:type="dxa" w:w="6336"/>
            <w:vAlign w:val="center"/>
            <w:shd w:fill="D9EAF7"/>
          </w:tcPr>
          <w:p>
            <w:pPr>
              <w:spacing w:after="0"/>
            </w:pPr>
            <w:r/>
            <w:r>
              <w:rPr>
                <w:rFonts w:ascii="Aptos" w:hAnsi="Aptos"/>
                <w:b/>
                <w:sz w:val="16"/>
              </w:rPr>
              <w:t>Monthly Status price source</w:t>
            </w:r>
          </w:p>
        </w:tc>
      </w:tr>
      <w:tr>
        <w:tc>
          <w:tcPr>
            <w:tcW w:type="dxa" w:w="4608"/>
            <w:vAlign w:val="center"/>
          </w:tcPr>
          <w:p>
            <w:pPr>
              <w:spacing w:after="0"/>
            </w:pPr>
            <w:r/>
            <w:r>
              <w:rPr>
                <w:rFonts w:ascii="Aptos" w:hAnsi="Aptos"/>
                <w:b w:val="0"/>
                <w:sz w:val="16"/>
              </w:rPr>
              <w:t>Index Futures</w:t>
            </w:r>
          </w:p>
        </w:tc>
        <w:tc>
          <w:tcPr>
            <w:tcW w:type="dxa" w:w="6336"/>
            <w:vAlign w:val="center"/>
          </w:tcPr>
          <w:p>
            <w:pPr>
              <w:spacing w:after="0"/>
            </w:pPr>
            <w:r/>
            <w:r>
              <w:rPr>
                <w:rFonts w:ascii="Aptos" w:hAnsi="Aptos"/>
                <w:b w:val="0"/>
                <w:sz w:val="16"/>
              </w:rPr>
              <w:t>Corresponding index futures price.</w:t>
            </w:r>
          </w:p>
        </w:tc>
      </w:tr>
      <w:tr>
        <w:tc>
          <w:tcPr>
            <w:tcW w:type="dxa" w:w="4608"/>
            <w:vAlign w:val="center"/>
          </w:tcPr>
          <w:p>
            <w:pPr>
              <w:spacing w:after="0"/>
            </w:pPr>
            <w:r/>
            <w:r>
              <w:rPr>
                <w:rFonts w:ascii="Aptos" w:hAnsi="Aptos"/>
                <w:b w:val="0"/>
                <w:sz w:val="16"/>
              </w:rPr>
              <w:t>Stock Futures</w:t>
            </w:r>
          </w:p>
        </w:tc>
        <w:tc>
          <w:tcPr>
            <w:tcW w:type="dxa" w:w="6336"/>
            <w:vAlign w:val="center"/>
          </w:tcPr>
          <w:p>
            <w:pPr>
              <w:spacing w:after="0"/>
            </w:pPr>
            <w:r/>
            <w:r>
              <w:rPr>
                <w:rFonts w:ascii="Aptos" w:hAnsi="Aptos"/>
                <w:b w:val="0"/>
                <w:sz w:val="16"/>
              </w:rPr>
              <w:t>Corresponding stock futures price.</w:t>
            </w:r>
          </w:p>
        </w:tc>
      </w:tr>
      <w:tr>
        <w:tc>
          <w:tcPr>
            <w:tcW w:type="dxa" w:w="4608"/>
            <w:vAlign w:val="center"/>
          </w:tcPr>
          <w:p>
            <w:pPr>
              <w:spacing w:after="0"/>
            </w:pPr>
            <w:r/>
            <w:r>
              <w:rPr>
                <w:rFonts w:ascii="Aptos" w:hAnsi="Aptos"/>
                <w:b w:val="0"/>
                <w:sz w:val="16"/>
              </w:rPr>
              <w:t>Index Option Selling / Buying</w:t>
            </w:r>
          </w:p>
        </w:tc>
        <w:tc>
          <w:tcPr>
            <w:tcW w:type="dxa" w:w="6336"/>
            <w:vAlign w:val="center"/>
          </w:tcPr>
          <w:p>
            <w:pPr>
              <w:spacing w:after="0"/>
            </w:pPr>
            <w:r/>
            <w:r>
              <w:rPr>
                <w:rFonts w:ascii="Aptos" w:hAnsi="Aptos"/>
                <w:b w:val="0"/>
                <w:sz w:val="16"/>
              </w:rPr>
              <w:t>Corresponding index spot/underlying price.</w:t>
            </w:r>
          </w:p>
        </w:tc>
      </w:tr>
      <w:tr>
        <w:tc>
          <w:tcPr>
            <w:tcW w:type="dxa" w:w="4608"/>
            <w:vAlign w:val="center"/>
          </w:tcPr>
          <w:p>
            <w:pPr>
              <w:spacing w:after="0"/>
            </w:pPr>
            <w:r/>
            <w:r>
              <w:rPr>
                <w:rFonts w:ascii="Aptos" w:hAnsi="Aptos"/>
                <w:b w:val="0"/>
                <w:sz w:val="16"/>
              </w:rPr>
              <w:t>Stock Option Selling / Buying</w:t>
            </w:r>
          </w:p>
        </w:tc>
        <w:tc>
          <w:tcPr>
            <w:tcW w:type="dxa" w:w="6336"/>
            <w:vAlign w:val="center"/>
          </w:tcPr>
          <w:p>
            <w:pPr>
              <w:spacing w:after="0"/>
            </w:pPr>
            <w:r/>
            <w:r>
              <w:rPr>
                <w:rFonts w:ascii="Aptos" w:hAnsi="Aptos"/>
                <w:b w:val="0"/>
                <w:sz w:val="16"/>
              </w:rPr>
              <w:t>Corresponding stock spot/underlying price.</w:t>
            </w:r>
          </w:p>
        </w:tc>
      </w:tr>
      <w:tr>
        <w:tc>
          <w:tcPr>
            <w:tcW w:type="dxa" w:w="4608"/>
            <w:vAlign w:val="center"/>
          </w:tcPr>
          <w:p>
            <w:pPr>
              <w:spacing w:after="0"/>
            </w:pPr>
            <w:r/>
            <w:r>
              <w:rPr>
                <w:rFonts w:ascii="Aptos" w:hAnsi="Aptos"/>
                <w:b w:val="0"/>
                <w:sz w:val="16"/>
              </w:rPr>
              <w:t>Commodity strategies</w:t>
            </w:r>
          </w:p>
        </w:tc>
        <w:tc>
          <w:tcPr>
            <w:tcW w:type="dxa" w:w="6336"/>
            <w:vAlign w:val="center"/>
          </w:tcPr>
          <w:p>
            <w:pPr>
              <w:spacing w:after="0"/>
            </w:pPr>
            <w:r/>
            <w:r>
              <w:rPr>
                <w:rFonts w:ascii="Aptos" w:hAnsi="Aptos"/>
                <w:b w:val="0"/>
                <w:sz w:val="16"/>
              </w:rPr>
              <w:t>Corresponding commodity futures price.</w:t>
            </w:r>
          </w:p>
        </w:tc>
      </w:tr>
      <w:tr>
        <w:tc>
          <w:tcPr>
            <w:tcW w:type="dxa" w:w="4608"/>
            <w:vAlign w:val="center"/>
          </w:tcPr>
          <w:p>
            <w:pPr>
              <w:spacing w:after="0"/>
            </w:pPr>
            <w:r/>
            <w:r>
              <w:rPr>
                <w:rFonts w:ascii="Aptos" w:hAnsi="Aptos"/>
                <w:b w:val="0"/>
                <w:sz w:val="16"/>
              </w:rPr>
              <w:t>Equity strategies</w:t>
            </w:r>
          </w:p>
        </w:tc>
        <w:tc>
          <w:tcPr>
            <w:tcW w:type="dxa" w:w="6336"/>
            <w:vAlign w:val="center"/>
          </w:tcPr>
          <w:p>
            <w:pPr>
              <w:spacing w:after="0"/>
            </w:pPr>
            <w:r/>
            <w:r>
              <w:rPr>
                <w:rFonts w:ascii="Aptos" w:hAnsi="Aptos"/>
                <w:b w:val="0"/>
                <w:sz w:val="16"/>
              </w:rPr>
              <w:t>Corresponding cash-equity/spot price, subject to strategy configuration.</w:t>
            </w:r>
          </w:p>
        </w:tc>
      </w:tr>
    </w:tbl>
    <w:p/>
    <w:p>
      <w:pPr>
        <w:pStyle w:val="Heading1"/>
      </w:pPr>
      <w:r>
        <w:t>4. Segment Parameter Table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6192"/>
            <w:vAlign w:val="center"/>
            <w:shd w:fill="D9EAF7"/>
          </w:tcPr>
          <w:p>
            <w:pPr>
              <w:spacing w:after="0"/>
            </w:pPr>
            <w:r/>
            <w:r>
              <w:rPr>
                <w:rFonts w:ascii="Aptos" w:hAnsi="Aptos"/>
                <w:b/>
                <w:sz w:val="16"/>
              </w:rPr>
              <w:t>Segment / instrument group</w:t>
            </w:r>
          </w:p>
        </w:tc>
        <w:tc>
          <w:tcPr>
            <w:tcW w:type="dxa" w:w="1584"/>
            <w:vAlign w:val="center"/>
            <w:shd w:fill="D9EAF7"/>
          </w:tcPr>
          <w:p>
            <w:pPr>
              <w:spacing w:after="0"/>
            </w:pPr>
            <w:r/>
            <w:r>
              <w:rPr>
                <w:rFonts w:ascii="Aptos" w:hAnsi="Aptos"/>
                <w:b/>
                <w:sz w:val="16"/>
              </w:rPr>
              <w:t>a%</w:t>
            </w:r>
          </w:p>
        </w:tc>
        <w:tc>
          <w:tcPr>
            <w:tcW w:type="dxa" w:w="1584"/>
            <w:vAlign w:val="center"/>
            <w:shd w:fill="D9EAF7"/>
          </w:tcPr>
          <w:p>
            <w:pPr>
              <w:spacing w:after="0"/>
            </w:pPr>
            <w:r/>
            <w:r>
              <w:rPr>
                <w:rFonts w:ascii="Aptos" w:hAnsi="Aptos"/>
                <w:b/>
                <w:sz w:val="16"/>
              </w:rPr>
              <w:t>b%</w:t>
            </w:r>
          </w:p>
        </w:tc>
        <w:tc>
          <w:tcPr>
            <w:tcW w:type="dxa" w:w="1584"/>
            <w:vAlign w:val="center"/>
            <w:shd w:fill="D9EAF7"/>
          </w:tcPr>
          <w:p>
            <w:pPr>
              <w:spacing w:after="0"/>
            </w:pPr>
            <w:r/>
            <w:r>
              <w:rPr>
                <w:rFonts w:ascii="Aptos" w:hAnsi="Aptos"/>
                <w:b/>
                <w:sz w:val="16"/>
              </w:rPr>
              <w:t>c%</w:t>
            </w:r>
          </w:p>
        </w:tc>
      </w:tr>
      <w:tr>
        <w:tc>
          <w:tcPr>
            <w:tcW w:type="dxa" w:w="6192"/>
            <w:vAlign w:val="center"/>
          </w:tcPr>
          <w:p>
            <w:pPr>
              <w:spacing w:after="0"/>
            </w:pPr>
            <w:r/>
            <w:r>
              <w:rPr>
                <w:rFonts w:ascii="Aptos" w:hAnsi="Aptos"/>
                <w:b w:val="0"/>
                <w:sz w:val="16"/>
              </w:rPr>
              <w:t>NIFTY</w:t>
            </w:r>
          </w:p>
        </w:tc>
        <w:tc>
          <w:tcPr>
            <w:tcW w:type="dxa" w:w="1584"/>
            <w:vAlign w:val="center"/>
          </w:tcPr>
          <w:p>
            <w:pPr>
              <w:spacing w:after="0"/>
            </w:pPr>
            <w:r/>
            <w:r>
              <w:rPr>
                <w:rFonts w:ascii="Aptos" w:hAnsi="Aptos"/>
                <w:b w:val="0"/>
                <w:sz w:val="16"/>
              </w:rPr>
              <w:t>0.75%</w:t>
            </w:r>
          </w:p>
        </w:tc>
        <w:tc>
          <w:tcPr>
            <w:tcW w:type="dxa" w:w="1584"/>
            <w:vAlign w:val="center"/>
          </w:tcPr>
          <w:p>
            <w:pPr>
              <w:spacing w:after="0"/>
            </w:pPr>
            <w:r/>
            <w:r>
              <w:rPr>
                <w:rFonts w:ascii="Aptos" w:hAnsi="Aptos"/>
                <w:b w:val="0"/>
                <w:sz w:val="16"/>
              </w:rPr>
              <w:t>0.75%</w:t>
            </w:r>
          </w:p>
        </w:tc>
        <w:tc>
          <w:tcPr>
            <w:tcW w:type="dxa" w:w="1584"/>
            <w:vAlign w:val="center"/>
          </w:tcPr>
          <w:p>
            <w:pPr>
              <w:spacing w:after="0"/>
            </w:pPr>
            <w:r/>
            <w:r>
              <w:rPr>
                <w:rFonts w:ascii="Aptos" w:hAnsi="Aptos"/>
                <w:b w:val="0"/>
                <w:sz w:val="16"/>
              </w:rPr>
              <w:t>0.15%</w:t>
            </w:r>
          </w:p>
        </w:tc>
      </w:tr>
      <w:tr>
        <w:tc>
          <w:tcPr>
            <w:tcW w:type="dxa" w:w="6192"/>
            <w:vAlign w:val="center"/>
          </w:tcPr>
          <w:p>
            <w:pPr>
              <w:spacing w:after="0"/>
            </w:pPr>
            <w:r/>
            <w:r>
              <w:rPr>
                <w:rFonts w:ascii="Aptos" w:hAnsi="Aptos"/>
                <w:b w:val="0"/>
                <w:sz w:val="16"/>
              </w:rPr>
              <w:t>BANKNIFTY</w:t>
            </w:r>
          </w:p>
        </w:tc>
        <w:tc>
          <w:tcPr>
            <w:tcW w:type="dxa" w:w="1584"/>
            <w:vAlign w:val="center"/>
          </w:tcPr>
          <w:p>
            <w:pPr>
              <w:spacing w:after="0"/>
            </w:pPr>
            <w:r/>
            <w:r>
              <w:rPr>
                <w:rFonts w:ascii="Aptos" w:hAnsi="Aptos"/>
                <w:b w:val="0"/>
                <w:sz w:val="16"/>
              </w:rPr>
              <w:t>0.75%</w:t>
            </w:r>
          </w:p>
        </w:tc>
        <w:tc>
          <w:tcPr>
            <w:tcW w:type="dxa" w:w="1584"/>
            <w:vAlign w:val="center"/>
          </w:tcPr>
          <w:p>
            <w:pPr>
              <w:spacing w:after="0"/>
            </w:pPr>
            <w:r/>
            <w:r>
              <w:rPr>
                <w:rFonts w:ascii="Aptos" w:hAnsi="Aptos"/>
                <w:b w:val="0"/>
                <w:sz w:val="16"/>
              </w:rPr>
              <w:t>0.75%</w:t>
            </w:r>
          </w:p>
        </w:tc>
        <w:tc>
          <w:tcPr>
            <w:tcW w:type="dxa" w:w="1584"/>
            <w:vAlign w:val="center"/>
          </w:tcPr>
          <w:p>
            <w:pPr>
              <w:spacing w:after="0"/>
            </w:pPr>
            <w:r/>
            <w:r>
              <w:rPr>
                <w:rFonts w:ascii="Aptos" w:hAnsi="Aptos"/>
                <w:b w:val="0"/>
                <w:sz w:val="16"/>
              </w:rPr>
              <w:t>0.15%</w:t>
            </w:r>
          </w:p>
        </w:tc>
      </w:tr>
      <w:tr>
        <w:tc>
          <w:tcPr>
            <w:tcW w:type="dxa" w:w="6192"/>
            <w:vAlign w:val="center"/>
          </w:tcPr>
          <w:p>
            <w:pPr>
              <w:spacing w:after="0"/>
            </w:pPr>
            <w:r/>
            <w:r>
              <w:rPr>
                <w:rFonts w:ascii="Aptos" w:hAnsi="Aptos"/>
                <w:b w:val="0"/>
                <w:sz w:val="16"/>
              </w:rPr>
              <w:t>ALL STOCKS</w:t>
            </w:r>
          </w:p>
        </w:tc>
        <w:tc>
          <w:tcPr>
            <w:tcW w:type="dxa" w:w="1584"/>
            <w:vAlign w:val="center"/>
          </w:tcPr>
          <w:p>
            <w:pPr>
              <w:spacing w:after="0"/>
            </w:pPr>
            <w:r/>
            <w:r>
              <w:rPr>
                <w:rFonts w:ascii="Aptos" w:hAnsi="Aptos"/>
                <w:b w:val="0"/>
                <w:sz w:val="16"/>
              </w:rPr>
              <w:t>2.50%</w:t>
            </w:r>
          </w:p>
        </w:tc>
        <w:tc>
          <w:tcPr>
            <w:tcW w:type="dxa" w:w="1584"/>
            <w:vAlign w:val="center"/>
          </w:tcPr>
          <w:p>
            <w:pPr>
              <w:spacing w:after="0"/>
            </w:pPr>
            <w:r/>
            <w:r>
              <w:rPr>
                <w:rFonts w:ascii="Aptos" w:hAnsi="Aptos"/>
                <w:b w:val="0"/>
                <w:sz w:val="16"/>
              </w:rPr>
              <w:t>2.00%</w:t>
            </w:r>
          </w:p>
        </w:tc>
        <w:tc>
          <w:tcPr>
            <w:tcW w:type="dxa" w:w="1584"/>
            <w:vAlign w:val="center"/>
          </w:tcPr>
          <w:p>
            <w:pPr>
              <w:spacing w:after="0"/>
            </w:pPr>
            <w:r/>
            <w:r>
              <w:rPr>
                <w:rFonts w:ascii="Aptos" w:hAnsi="Aptos"/>
                <w:b w:val="0"/>
                <w:sz w:val="16"/>
              </w:rPr>
              <w:t>1.00%</w:t>
            </w:r>
          </w:p>
        </w:tc>
      </w:tr>
      <w:tr>
        <w:tc>
          <w:tcPr>
            <w:tcW w:type="dxa" w:w="6192"/>
            <w:vAlign w:val="center"/>
          </w:tcPr>
          <w:p>
            <w:pPr>
              <w:spacing w:after="0"/>
            </w:pPr>
            <w:r/>
            <w:r>
              <w:rPr>
                <w:rFonts w:ascii="Aptos" w:hAnsi="Aptos"/>
                <w:b w:val="0"/>
                <w:sz w:val="16"/>
              </w:rPr>
              <w:t>USDINR</w:t>
            </w:r>
          </w:p>
        </w:tc>
        <w:tc>
          <w:tcPr>
            <w:tcW w:type="dxa" w:w="1584"/>
            <w:vAlign w:val="center"/>
          </w:tcPr>
          <w:p>
            <w:pPr>
              <w:spacing w:after="0"/>
            </w:pPr>
            <w:r/>
            <w:r>
              <w:rPr>
                <w:rFonts w:ascii="Aptos" w:hAnsi="Aptos"/>
                <w:b w:val="0"/>
                <w:sz w:val="16"/>
              </w:rPr>
              <w:t>0.15%</w:t>
            </w:r>
          </w:p>
        </w:tc>
        <w:tc>
          <w:tcPr>
            <w:tcW w:type="dxa" w:w="1584"/>
            <w:vAlign w:val="center"/>
          </w:tcPr>
          <w:p>
            <w:pPr>
              <w:spacing w:after="0"/>
            </w:pPr>
            <w:r/>
            <w:r>
              <w:rPr>
                <w:rFonts w:ascii="Aptos" w:hAnsi="Aptos"/>
                <w:b w:val="0"/>
                <w:sz w:val="16"/>
              </w:rPr>
              <w:t>0.05%</w:t>
            </w:r>
          </w:p>
        </w:tc>
        <w:tc>
          <w:tcPr>
            <w:tcW w:type="dxa" w:w="1584"/>
            <w:vAlign w:val="center"/>
          </w:tcPr>
          <w:p>
            <w:pPr>
              <w:spacing w:after="0"/>
            </w:pPr>
            <w:r/>
            <w:r>
              <w:rPr>
                <w:rFonts w:ascii="Aptos" w:hAnsi="Aptos"/>
                <w:b w:val="0"/>
                <w:sz w:val="16"/>
              </w:rPr>
              <w:t>0.05%</w:t>
            </w:r>
          </w:p>
        </w:tc>
      </w:tr>
      <w:tr>
        <w:tc>
          <w:tcPr>
            <w:tcW w:type="dxa" w:w="6192"/>
            <w:vAlign w:val="center"/>
          </w:tcPr>
          <w:p>
            <w:pPr>
              <w:spacing w:after="0"/>
            </w:pPr>
            <w:r/>
            <w:r>
              <w:rPr>
                <w:rFonts w:ascii="Aptos" w:hAnsi="Aptos"/>
                <w:b w:val="0"/>
                <w:sz w:val="16"/>
              </w:rPr>
              <w:t>GBPINR</w:t>
            </w:r>
          </w:p>
        </w:tc>
        <w:tc>
          <w:tcPr>
            <w:tcW w:type="dxa" w:w="1584"/>
            <w:vAlign w:val="center"/>
          </w:tcPr>
          <w:p>
            <w:pPr>
              <w:spacing w:after="0"/>
            </w:pPr>
            <w:r/>
            <w:r>
              <w:rPr>
                <w:rFonts w:ascii="Aptos" w:hAnsi="Aptos"/>
                <w:b w:val="0"/>
                <w:sz w:val="16"/>
              </w:rPr>
              <w:t>0.15%</w:t>
            </w:r>
          </w:p>
        </w:tc>
        <w:tc>
          <w:tcPr>
            <w:tcW w:type="dxa" w:w="1584"/>
            <w:vAlign w:val="center"/>
          </w:tcPr>
          <w:p>
            <w:pPr>
              <w:spacing w:after="0"/>
            </w:pPr>
            <w:r/>
            <w:r>
              <w:rPr>
                <w:rFonts w:ascii="Aptos" w:hAnsi="Aptos"/>
                <w:b w:val="0"/>
                <w:sz w:val="16"/>
              </w:rPr>
              <w:t>0.05%</w:t>
            </w:r>
          </w:p>
        </w:tc>
        <w:tc>
          <w:tcPr>
            <w:tcW w:type="dxa" w:w="1584"/>
            <w:vAlign w:val="center"/>
          </w:tcPr>
          <w:p>
            <w:pPr>
              <w:spacing w:after="0"/>
            </w:pPr>
            <w:r/>
            <w:r>
              <w:rPr>
                <w:rFonts w:ascii="Aptos" w:hAnsi="Aptos"/>
                <w:b w:val="0"/>
                <w:sz w:val="16"/>
              </w:rPr>
              <w:t>0.05%</w:t>
            </w:r>
          </w:p>
        </w:tc>
      </w:tr>
      <w:tr>
        <w:tc>
          <w:tcPr>
            <w:tcW w:type="dxa" w:w="6192"/>
            <w:vAlign w:val="center"/>
          </w:tcPr>
          <w:p>
            <w:pPr>
              <w:spacing w:after="0"/>
            </w:pPr>
            <w:r/>
            <w:r>
              <w:rPr>
                <w:rFonts w:ascii="Aptos" w:hAnsi="Aptos"/>
                <w:b w:val="0"/>
                <w:sz w:val="16"/>
              </w:rPr>
              <w:t>JPYINR</w:t>
            </w:r>
          </w:p>
        </w:tc>
        <w:tc>
          <w:tcPr>
            <w:tcW w:type="dxa" w:w="1584"/>
            <w:vAlign w:val="center"/>
          </w:tcPr>
          <w:p>
            <w:pPr>
              <w:spacing w:after="0"/>
            </w:pPr>
            <w:r/>
            <w:r>
              <w:rPr>
                <w:rFonts w:ascii="Aptos" w:hAnsi="Aptos"/>
                <w:b w:val="0"/>
                <w:sz w:val="16"/>
              </w:rPr>
              <w:t>0.15%</w:t>
            </w:r>
          </w:p>
        </w:tc>
        <w:tc>
          <w:tcPr>
            <w:tcW w:type="dxa" w:w="1584"/>
            <w:vAlign w:val="center"/>
          </w:tcPr>
          <w:p>
            <w:pPr>
              <w:spacing w:after="0"/>
            </w:pPr>
            <w:r/>
            <w:r>
              <w:rPr>
                <w:rFonts w:ascii="Aptos" w:hAnsi="Aptos"/>
                <w:b w:val="0"/>
                <w:sz w:val="16"/>
              </w:rPr>
              <w:t>0.05%</w:t>
            </w:r>
          </w:p>
        </w:tc>
        <w:tc>
          <w:tcPr>
            <w:tcW w:type="dxa" w:w="1584"/>
            <w:vAlign w:val="center"/>
          </w:tcPr>
          <w:p>
            <w:pPr>
              <w:spacing w:after="0"/>
            </w:pPr>
            <w:r/>
            <w:r>
              <w:rPr>
                <w:rFonts w:ascii="Aptos" w:hAnsi="Aptos"/>
                <w:b w:val="0"/>
                <w:sz w:val="16"/>
              </w:rPr>
              <w:t>0.05%</w:t>
            </w:r>
          </w:p>
        </w:tc>
      </w:tr>
      <w:tr>
        <w:tc>
          <w:tcPr>
            <w:tcW w:type="dxa" w:w="6192"/>
            <w:vAlign w:val="center"/>
          </w:tcPr>
          <w:p>
            <w:pPr>
              <w:spacing w:after="0"/>
            </w:pPr>
            <w:r/>
            <w:r>
              <w:rPr>
                <w:rFonts w:ascii="Aptos" w:hAnsi="Aptos"/>
                <w:b w:val="0"/>
                <w:sz w:val="16"/>
              </w:rPr>
              <w:t>EURINR</w:t>
            </w:r>
          </w:p>
        </w:tc>
        <w:tc>
          <w:tcPr>
            <w:tcW w:type="dxa" w:w="1584"/>
            <w:vAlign w:val="center"/>
          </w:tcPr>
          <w:p>
            <w:pPr>
              <w:spacing w:after="0"/>
            </w:pPr>
            <w:r/>
            <w:r>
              <w:rPr>
                <w:rFonts w:ascii="Aptos" w:hAnsi="Aptos"/>
                <w:b w:val="0"/>
                <w:sz w:val="16"/>
              </w:rPr>
              <w:t>0.15%</w:t>
            </w:r>
          </w:p>
        </w:tc>
        <w:tc>
          <w:tcPr>
            <w:tcW w:type="dxa" w:w="1584"/>
            <w:vAlign w:val="center"/>
          </w:tcPr>
          <w:p>
            <w:pPr>
              <w:spacing w:after="0"/>
            </w:pPr>
            <w:r/>
            <w:r>
              <w:rPr>
                <w:rFonts w:ascii="Aptos" w:hAnsi="Aptos"/>
                <w:b w:val="0"/>
                <w:sz w:val="16"/>
              </w:rPr>
              <w:t>0.05%</w:t>
            </w:r>
          </w:p>
        </w:tc>
        <w:tc>
          <w:tcPr>
            <w:tcW w:type="dxa" w:w="1584"/>
            <w:vAlign w:val="center"/>
          </w:tcPr>
          <w:p>
            <w:pPr>
              <w:spacing w:after="0"/>
            </w:pPr>
            <w:r/>
            <w:r>
              <w:rPr>
                <w:rFonts w:ascii="Aptos" w:hAnsi="Aptos"/>
                <w:b w:val="0"/>
                <w:sz w:val="16"/>
              </w:rPr>
              <w:t>0.05%</w:t>
            </w:r>
          </w:p>
        </w:tc>
      </w:tr>
      <w:tr>
        <w:tc>
          <w:tcPr>
            <w:tcW w:type="dxa" w:w="6192"/>
            <w:vAlign w:val="center"/>
          </w:tcPr>
          <w:p>
            <w:pPr>
              <w:spacing w:after="0"/>
            </w:pPr>
            <w:r/>
            <w:r>
              <w:rPr>
                <w:rFonts w:ascii="Aptos" w:hAnsi="Aptos"/>
                <w:b w:val="0"/>
                <w:sz w:val="16"/>
              </w:rPr>
              <w:t>GOLD</w:t>
            </w:r>
          </w:p>
        </w:tc>
        <w:tc>
          <w:tcPr>
            <w:tcW w:type="dxa" w:w="1584"/>
            <w:vAlign w:val="center"/>
          </w:tcPr>
          <w:p>
            <w:pPr>
              <w:spacing w:after="0"/>
            </w:pPr>
            <w:r/>
            <w:r>
              <w:rPr>
                <w:rFonts w:ascii="Aptos" w:hAnsi="Aptos"/>
                <w:b w:val="0"/>
                <w:sz w:val="16"/>
              </w:rPr>
              <w:t>0.50%</w:t>
            </w:r>
          </w:p>
        </w:tc>
        <w:tc>
          <w:tcPr>
            <w:tcW w:type="dxa" w:w="1584"/>
            <w:vAlign w:val="center"/>
          </w:tcPr>
          <w:p>
            <w:pPr>
              <w:spacing w:after="0"/>
            </w:pPr>
            <w:r/>
            <w:r>
              <w:rPr>
                <w:rFonts w:ascii="Aptos" w:hAnsi="Aptos"/>
                <w:b w:val="0"/>
                <w:sz w:val="16"/>
              </w:rPr>
              <w:t>0.50%</w:t>
            </w:r>
          </w:p>
        </w:tc>
        <w:tc>
          <w:tcPr>
            <w:tcW w:type="dxa" w:w="1584"/>
            <w:vAlign w:val="center"/>
          </w:tcPr>
          <w:p>
            <w:pPr>
              <w:spacing w:after="0"/>
            </w:pPr>
            <w:r/>
            <w:r>
              <w:rPr>
                <w:rFonts w:ascii="Aptos" w:hAnsi="Aptos"/>
                <w:b w:val="0"/>
                <w:sz w:val="16"/>
              </w:rPr>
              <w:t>0.12%</w:t>
            </w:r>
          </w:p>
        </w:tc>
      </w:tr>
      <w:tr>
        <w:tc>
          <w:tcPr>
            <w:tcW w:type="dxa" w:w="6192"/>
            <w:vAlign w:val="center"/>
          </w:tcPr>
          <w:p>
            <w:pPr>
              <w:spacing w:after="0"/>
            </w:pPr>
            <w:r/>
            <w:r>
              <w:rPr>
                <w:rFonts w:ascii="Aptos" w:hAnsi="Aptos"/>
                <w:b w:val="0"/>
                <w:sz w:val="16"/>
              </w:rPr>
              <w:t>SILVER</w:t>
            </w:r>
          </w:p>
        </w:tc>
        <w:tc>
          <w:tcPr>
            <w:tcW w:type="dxa" w:w="1584"/>
            <w:vAlign w:val="center"/>
          </w:tcPr>
          <w:p>
            <w:pPr>
              <w:spacing w:after="0"/>
            </w:pPr>
            <w:r/>
            <w:r>
              <w:rPr>
                <w:rFonts w:ascii="Aptos" w:hAnsi="Aptos"/>
                <w:b w:val="0"/>
                <w:sz w:val="16"/>
              </w:rPr>
              <w:t>0.70%</w:t>
            </w:r>
          </w:p>
        </w:tc>
        <w:tc>
          <w:tcPr>
            <w:tcW w:type="dxa" w:w="1584"/>
            <w:vAlign w:val="center"/>
          </w:tcPr>
          <w:p>
            <w:pPr>
              <w:spacing w:after="0"/>
            </w:pPr>
            <w:r/>
            <w:r>
              <w:rPr>
                <w:rFonts w:ascii="Aptos" w:hAnsi="Aptos"/>
                <w:b w:val="0"/>
                <w:sz w:val="16"/>
              </w:rPr>
              <w:t>0.70%</w:t>
            </w:r>
          </w:p>
        </w:tc>
        <w:tc>
          <w:tcPr>
            <w:tcW w:type="dxa" w:w="1584"/>
            <w:vAlign w:val="center"/>
          </w:tcPr>
          <w:p>
            <w:pPr>
              <w:spacing w:after="0"/>
            </w:pPr>
            <w:r/>
            <w:r>
              <w:rPr>
                <w:rFonts w:ascii="Aptos" w:hAnsi="Aptos"/>
                <w:b w:val="0"/>
                <w:sz w:val="16"/>
              </w:rPr>
              <w:t>0.15%</w:t>
            </w:r>
          </w:p>
        </w:tc>
      </w:tr>
      <w:tr>
        <w:tc>
          <w:tcPr>
            <w:tcW w:type="dxa" w:w="6192"/>
            <w:vAlign w:val="center"/>
          </w:tcPr>
          <w:p>
            <w:pPr>
              <w:spacing w:after="0"/>
            </w:pPr>
            <w:r/>
            <w:r>
              <w:rPr>
                <w:rFonts w:ascii="Aptos" w:hAnsi="Aptos"/>
                <w:b w:val="0"/>
                <w:sz w:val="16"/>
              </w:rPr>
              <w:t>CRUDE</w:t>
            </w:r>
          </w:p>
        </w:tc>
        <w:tc>
          <w:tcPr>
            <w:tcW w:type="dxa" w:w="1584"/>
            <w:vAlign w:val="center"/>
          </w:tcPr>
          <w:p>
            <w:pPr>
              <w:spacing w:after="0"/>
            </w:pPr>
            <w:r/>
            <w:r>
              <w:rPr>
                <w:rFonts w:ascii="Aptos" w:hAnsi="Aptos"/>
                <w:b w:val="0"/>
                <w:sz w:val="16"/>
              </w:rPr>
              <w:t>2.00%</w:t>
            </w:r>
          </w:p>
        </w:tc>
        <w:tc>
          <w:tcPr>
            <w:tcW w:type="dxa" w:w="1584"/>
            <w:vAlign w:val="center"/>
          </w:tcPr>
          <w:p>
            <w:pPr>
              <w:spacing w:after="0"/>
            </w:pPr>
            <w:r/>
            <w:r>
              <w:rPr>
                <w:rFonts w:ascii="Aptos" w:hAnsi="Aptos"/>
                <w:b w:val="0"/>
                <w:sz w:val="16"/>
              </w:rPr>
              <w:t>1.50%</w:t>
            </w:r>
          </w:p>
        </w:tc>
        <w:tc>
          <w:tcPr>
            <w:tcW w:type="dxa" w:w="1584"/>
            <w:vAlign w:val="center"/>
          </w:tcPr>
          <w:p>
            <w:pPr>
              <w:spacing w:after="0"/>
            </w:pPr>
            <w:r/>
            <w:r>
              <w:rPr>
                <w:rFonts w:ascii="Aptos" w:hAnsi="Aptos"/>
                <w:b w:val="0"/>
                <w:sz w:val="16"/>
              </w:rPr>
              <w:t>0.30%</w:t>
            </w:r>
          </w:p>
        </w:tc>
      </w:tr>
      <w:tr>
        <w:tc>
          <w:tcPr>
            <w:tcW w:type="dxa" w:w="6192"/>
            <w:vAlign w:val="center"/>
          </w:tcPr>
          <w:p>
            <w:pPr>
              <w:spacing w:after="0"/>
            </w:pPr>
            <w:r/>
            <w:r>
              <w:rPr>
                <w:rFonts w:ascii="Aptos" w:hAnsi="Aptos"/>
                <w:b w:val="0"/>
                <w:sz w:val="16"/>
              </w:rPr>
              <w:t>NATURAL GAS</w:t>
            </w:r>
          </w:p>
        </w:tc>
        <w:tc>
          <w:tcPr>
            <w:tcW w:type="dxa" w:w="1584"/>
            <w:vAlign w:val="center"/>
          </w:tcPr>
          <w:p>
            <w:pPr>
              <w:spacing w:after="0"/>
            </w:pPr>
            <w:r/>
            <w:r>
              <w:rPr>
                <w:rFonts w:ascii="Aptos" w:hAnsi="Aptos"/>
                <w:b w:val="0"/>
                <w:sz w:val="16"/>
              </w:rPr>
              <w:t>2.00%</w:t>
            </w:r>
          </w:p>
        </w:tc>
        <w:tc>
          <w:tcPr>
            <w:tcW w:type="dxa" w:w="1584"/>
            <w:vAlign w:val="center"/>
          </w:tcPr>
          <w:p>
            <w:pPr>
              <w:spacing w:after="0"/>
            </w:pPr>
            <w:r/>
            <w:r>
              <w:rPr>
                <w:rFonts w:ascii="Aptos" w:hAnsi="Aptos"/>
                <w:b w:val="0"/>
                <w:sz w:val="16"/>
              </w:rPr>
              <w:t>2.00%</w:t>
            </w:r>
          </w:p>
        </w:tc>
        <w:tc>
          <w:tcPr>
            <w:tcW w:type="dxa" w:w="1584"/>
            <w:vAlign w:val="center"/>
          </w:tcPr>
          <w:p>
            <w:pPr>
              <w:spacing w:after="0"/>
            </w:pPr>
            <w:r/>
            <w:r>
              <w:rPr>
                <w:rFonts w:ascii="Aptos" w:hAnsi="Aptos"/>
                <w:b w:val="0"/>
                <w:sz w:val="16"/>
              </w:rPr>
              <w:t>0.50%</w:t>
            </w:r>
          </w:p>
        </w:tc>
      </w:tr>
    </w:tbl>
    <w:p/>
    <w:tbl>
      <w:tblPr>
        <w:tblStyle w:val="TableGrid"/>
        <w:tblW w:type="auto" w:w="0"/>
        <w:tblLook w:firstColumn="1" w:firstRow="1" w:lastColumn="0" w:lastRow="0" w:noHBand="0" w:noVBand="1" w:val="04A0"/>
      </w:tblPr>
      <w:tblGrid>
        <w:gridCol w:w="10080"/>
      </w:tblGrid>
      <w:tr>
        <w:tc>
          <w:tcPr>
            <w:tcW w:type="dxa" w:w="10080"/>
            <w:shd w:fill="FFF2CC"/>
          </w:tcPr>
          <w:p>
            <w:pPr>
              <w:spacing w:after="0"/>
            </w:pPr>
            <w:r/>
            <w:r>
              <w:rPr>
                <w:rFonts w:ascii="Aptos" w:hAnsi="Aptos"/>
                <w:b/>
                <w:color w:val="1F4E79"/>
                <w:sz w:val="20"/>
              </w:rPr>
              <w:t>Configuration requirement</w:t>
              <w:br/>
            </w:r>
            <w:r>
              <w:rPr>
                <w:rFonts w:ascii="Aptos" w:hAnsi="Aptos"/>
                <w:sz w:val="19"/>
              </w:rPr>
              <w:t>These values must be configuration data with effective versioning. They must not be hard-coded as one global set. Any future change must identify the instrument group, effective date, specification revision and regression scenarios.</w:t>
            </w:r>
          </w:p>
        </w:tc>
      </w:tr>
    </w:tbl>
    <w:p/>
    <w:p>
      <w:pPr>
        <w:pStyle w:val="Heading1"/>
      </w:pPr>
      <w:r>
        <w:t>5. Authoritative State-Transition Rules</w:t>
      </w:r>
    </w:p>
    <w:p>
      <w:pPr>
        <w:jc w:val="center"/>
      </w:pPr>
      <w:r>
        <w:drawing>
          <wp:inline xmlns:a="http://schemas.openxmlformats.org/drawingml/2006/main" xmlns:pic="http://schemas.openxmlformats.org/drawingml/2006/picture">
            <wp:extent cx="6583680" cy="4023360"/>
            <wp:docPr id="2" name="Picture 2"/>
            <wp:cNvGraphicFramePr>
              <a:graphicFrameLocks noChangeAspect="1"/>
            </wp:cNvGraphicFramePr>
            <a:graphic>
              <a:graphicData uri="http://schemas.openxmlformats.org/drawingml/2006/picture">
                <pic:pic>
                  <pic:nvPicPr>
                    <pic:cNvPr id="0" name="monthly_status_state_machine.png"/>
                    <pic:cNvPicPr/>
                  </pic:nvPicPr>
                  <pic:blipFill>
                    <a:blip r:embed="rId9"/>
                    <a:stretch>
                      <a:fillRect/>
                    </a:stretch>
                  </pic:blipFill>
                  <pic:spPr>
                    <a:xfrm>
                      <a:off x="0" y="0"/>
                      <a:ext cx="6583680" cy="4023360"/>
                    </a:xfrm>
                    <a:prstGeom prst="rect"/>
                  </pic:spPr>
                </pic:pic>
              </a:graphicData>
            </a:graphic>
          </wp:inline>
        </w:drawing>
      </w:r>
    </w:p>
    <w:p>
      <w:pPr>
        <w:pStyle w:val="SmallNote"/>
        <w:jc w:val="center"/>
      </w:pPr>
      <w:r>
        <w:t>Figure 1. Authoritative Monthly Status state machine.</w:t>
      </w:r>
    </w:p>
    <w:p>
      <w:pPr>
        <w:pStyle w:val="Heading2"/>
      </w:pPr>
      <w:r>
        <w:t>5.1 Transition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440"/>
            <w:vAlign w:val="center"/>
            <w:shd w:fill="D9EAF7"/>
          </w:tcPr>
          <w:p>
            <w:pPr>
              <w:spacing w:after="0"/>
            </w:pPr>
            <w:r/>
            <w:r>
              <w:rPr>
                <w:rFonts w:ascii="Aptos" w:hAnsi="Aptos"/>
                <w:b/>
                <w:sz w:val="15"/>
              </w:rPr>
              <w:t>Current state</w:t>
            </w:r>
          </w:p>
        </w:tc>
        <w:tc>
          <w:tcPr>
            <w:tcW w:type="dxa" w:w="3240"/>
            <w:vAlign w:val="center"/>
            <w:shd w:fill="D9EAF7"/>
          </w:tcPr>
          <w:p>
            <w:pPr>
              <w:spacing w:after="0"/>
            </w:pPr>
            <w:r/>
            <w:r>
              <w:rPr>
                <w:rFonts w:ascii="Aptos" w:hAnsi="Aptos"/>
                <w:b/>
                <w:sz w:val="15"/>
              </w:rPr>
              <w:t>Favour / confirmation condition</w:t>
            </w:r>
          </w:p>
        </w:tc>
        <w:tc>
          <w:tcPr>
            <w:tcW w:type="dxa" w:w="1656"/>
            <w:vAlign w:val="center"/>
            <w:shd w:fill="D9EAF7"/>
          </w:tcPr>
          <w:p>
            <w:pPr>
              <w:spacing w:after="0"/>
            </w:pPr>
            <w:r/>
            <w:r>
              <w:rPr>
                <w:rFonts w:ascii="Aptos" w:hAnsi="Aptos"/>
                <w:b/>
                <w:sz w:val="15"/>
              </w:rPr>
              <w:t>Result</w:t>
            </w:r>
          </w:p>
        </w:tc>
        <w:tc>
          <w:tcPr>
            <w:tcW w:type="dxa" w:w="3240"/>
            <w:vAlign w:val="center"/>
            <w:shd w:fill="D9EAF7"/>
          </w:tcPr>
          <w:p>
            <w:pPr>
              <w:spacing w:after="0"/>
            </w:pPr>
            <w:r/>
            <w:r>
              <w:rPr>
                <w:rFonts w:ascii="Aptos" w:hAnsi="Aptos"/>
                <w:b/>
                <w:sz w:val="15"/>
              </w:rPr>
              <w:t>Reversal condition</w:t>
            </w:r>
          </w:p>
        </w:tc>
        <w:tc>
          <w:tcPr>
            <w:tcW w:type="dxa" w:w="1656"/>
            <w:vAlign w:val="center"/>
            <w:shd w:fill="D9EAF7"/>
          </w:tcPr>
          <w:p>
            <w:pPr>
              <w:spacing w:after="0"/>
            </w:pPr>
            <w:r/>
            <w:r>
              <w:rPr>
                <w:rFonts w:ascii="Aptos" w:hAnsi="Aptos"/>
                <w:b/>
                <w:sz w:val="15"/>
              </w:rPr>
              <w:t>Result</w:t>
            </w:r>
          </w:p>
        </w:tc>
      </w:tr>
      <w:tr>
        <w:tc>
          <w:tcPr>
            <w:tcW w:type="dxa" w:w="1440"/>
            <w:vAlign w:val="center"/>
          </w:tcPr>
          <w:p>
            <w:pPr>
              <w:spacing w:after="0"/>
            </w:pPr>
            <w:r/>
            <w:r>
              <w:rPr>
                <w:rFonts w:ascii="Aptos" w:hAnsi="Aptos"/>
                <w:b w:val="0"/>
                <w:sz w:val="15"/>
              </w:rPr>
              <w:t>BULL</w:t>
            </w:r>
          </w:p>
        </w:tc>
        <w:tc>
          <w:tcPr>
            <w:tcW w:type="dxa" w:w="3240"/>
            <w:vAlign w:val="center"/>
          </w:tcPr>
          <w:p>
            <w:pPr>
              <w:spacing w:after="0"/>
            </w:pPr>
            <w:r/>
            <w:r>
              <w:rPr>
                <w:rFonts w:ascii="Aptos" w:hAnsi="Aptos"/>
                <w:b w:val="0"/>
                <w:sz w:val="15"/>
              </w:rPr>
              <w:t>CMP &gt;= Bullish Value + b%</w:t>
            </w:r>
          </w:p>
        </w:tc>
        <w:tc>
          <w:tcPr>
            <w:tcW w:type="dxa" w:w="1656"/>
            <w:vAlign w:val="center"/>
          </w:tcPr>
          <w:p>
            <w:pPr>
              <w:spacing w:after="0"/>
            </w:pPr>
            <w:r/>
            <w:r>
              <w:rPr>
                <w:rFonts w:ascii="Aptos" w:hAnsi="Aptos"/>
                <w:b w:val="0"/>
                <w:sz w:val="15"/>
              </w:rPr>
              <w:t>BULL_CF</w:t>
            </w:r>
          </w:p>
        </w:tc>
        <w:tc>
          <w:tcPr>
            <w:tcW w:type="dxa" w:w="3240"/>
            <w:vAlign w:val="center"/>
          </w:tcPr>
          <w:p>
            <w:pPr>
              <w:spacing w:after="0"/>
            </w:pPr>
            <w:r/>
            <w:r>
              <w:rPr>
                <w:rFonts w:ascii="Aptos" w:hAnsi="Aptos"/>
                <w:b w:val="0"/>
                <w:sz w:val="15"/>
              </w:rPr>
              <w:t>CMP &lt;= min(PWL, CWL) - c%</w:t>
            </w:r>
          </w:p>
        </w:tc>
        <w:tc>
          <w:tcPr>
            <w:tcW w:type="dxa" w:w="1656"/>
            <w:vAlign w:val="center"/>
          </w:tcPr>
          <w:p>
            <w:pPr>
              <w:spacing w:after="0"/>
            </w:pPr>
            <w:r/>
            <w:r>
              <w:rPr>
                <w:rFonts w:ascii="Aptos" w:hAnsi="Aptos"/>
                <w:b w:val="0"/>
                <w:sz w:val="15"/>
              </w:rPr>
              <w:t>BEAR</w:t>
            </w:r>
          </w:p>
        </w:tc>
      </w:tr>
      <w:tr>
        <w:tc>
          <w:tcPr>
            <w:tcW w:type="dxa" w:w="1440"/>
            <w:vAlign w:val="center"/>
          </w:tcPr>
          <w:p>
            <w:pPr>
              <w:spacing w:after="0"/>
            </w:pPr>
            <w:r/>
            <w:r>
              <w:rPr>
                <w:rFonts w:ascii="Aptos" w:hAnsi="Aptos"/>
                <w:b w:val="0"/>
                <w:sz w:val="15"/>
              </w:rPr>
              <w:t>BULL_CF</w:t>
            </w:r>
          </w:p>
        </w:tc>
        <w:tc>
          <w:tcPr>
            <w:tcW w:type="dxa" w:w="3240"/>
            <w:vAlign w:val="center"/>
          </w:tcPr>
          <w:p>
            <w:pPr>
              <w:spacing w:after="0"/>
            </w:pPr>
            <w:r/>
            <w:r>
              <w:rPr>
                <w:rFonts w:ascii="Aptos" w:hAnsi="Aptos"/>
                <w:b w:val="0"/>
                <w:sz w:val="15"/>
              </w:rPr>
              <w:t>No additional favourable confirmation required</w:t>
            </w:r>
          </w:p>
        </w:tc>
        <w:tc>
          <w:tcPr>
            <w:tcW w:type="dxa" w:w="1656"/>
            <w:vAlign w:val="center"/>
          </w:tcPr>
          <w:p>
            <w:pPr>
              <w:spacing w:after="0"/>
            </w:pPr>
            <w:r/>
            <w:r>
              <w:rPr>
                <w:rFonts w:ascii="Aptos" w:hAnsi="Aptos"/>
                <w:b w:val="0"/>
                <w:sz w:val="15"/>
              </w:rPr>
              <w:t>Remain BULL_CF</w:t>
            </w:r>
          </w:p>
        </w:tc>
        <w:tc>
          <w:tcPr>
            <w:tcW w:type="dxa" w:w="3240"/>
            <w:vAlign w:val="center"/>
          </w:tcPr>
          <w:p>
            <w:pPr>
              <w:spacing w:after="0"/>
            </w:pPr>
            <w:r/>
            <w:r>
              <w:rPr>
                <w:rFonts w:ascii="Aptos" w:hAnsi="Aptos"/>
                <w:b w:val="0"/>
                <w:sz w:val="15"/>
              </w:rPr>
              <w:t>CMP &lt;= PML - a%</w:t>
            </w:r>
          </w:p>
        </w:tc>
        <w:tc>
          <w:tcPr>
            <w:tcW w:type="dxa" w:w="1656"/>
            <w:vAlign w:val="center"/>
          </w:tcPr>
          <w:p>
            <w:pPr>
              <w:spacing w:after="0"/>
            </w:pPr>
            <w:r/>
            <w:r>
              <w:rPr>
                <w:rFonts w:ascii="Aptos" w:hAnsi="Aptos"/>
                <w:b w:val="0"/>
                <w:sz w:val="15"/>
              </w:rPr>
              <w:t>BEAR</w:t>
            </w:r>
          </w:p>
        </w:tc>
      </w:tr>
      <w:tr>
        <w:tc>
          <w:tcPr>
            <w:tcW w:type="dxa" w:w="1440"/>
            <w:vAlign w:val="center"/>
          </w:tcPr>
          <w:p>
            <w:pPr>
              <w:spacing w:after="0"/>
            </w:pPr>
            <w:r/>
            <w:r>
              <w:rPr>
                <w:rFonts w:ascii="Aptos" w:hAnsi="Aptos"/>
                <w:b w:val="0"/>
                <w:sz w:val="15"/>
              </w:rPr>
              <w:t>BEAR</w:t>
            </w:r>
          </w:p>
        </w:tc>
        <w:tc>
          <w:tcPr>
            <w:tcW w:type="dxa" w:w="3240"/>
            <w:vAlign w:val="center"/>
          </w:tcPr>
          <w:p>
            <w:pPr>
              <w:spacing w:after="0"/>
            </w:pPr>
            <w:r/>
            <w:r>
              <w:rPr>
                <w:rFonts w:ascii="Aptos" w:hAnsi="Aptos"/>
                <w:b w:val="0"/>
                <w:sz w:val="15"/>
              </w:rPr>
              <w:t>CMP &lt;= Bearish Value - b%</w:t>
            </w:r>
          </w:p>
        </w:tc>
        <w:tc>
          <w:tcPr>
            <w:tcW w:type="dxa" w:w="1656"/>
            <w:vAlign w:val="center"/>
          </w:tcPr>
          <w:p>
            <w:pPr>
              <w:spacing w:after="0"/>
            </w:pPr>
            <w:r/>
            <w:r>
              <w:rPr>
                <w:rFonts w:ascii="Aptos" w:hAnsi="Aptos"/>
                <w:b w:val="0"/>
                <w:sz w:val="15"/>
              </w:rPr>
              <w:t>BEAR_CF</w:t>
            </w:r>
          </w:p>
        </w:tc>
        <w:tc>
          <w:tcPr>
            <w:tcW w:type="dxa" w:w="3240"/>
            <w:vAlign w:val="center"/>
          </w:tcPr>
          <w:p>
            <w:pPr>
              <w:spacing w:after="0"/>
            </w:pPr>
            <w:r/>
            <w:r>
              <w:rPr>
                <w:rFonts w:ascii="Aptos" w:hAnsi="Aptos"/>
                <w:b w:val="0"/>
                <w:sz w:val="15"/>
              </w:rPr>
              <w:t>CMP &gt;= max(PWH, CWH) + c%</w:t>
            </w:r>
          </w:p>
        </w:tc>
        <w:tc>
          <w:tcPr>
            <w:tcW w:type="dxa" w:w="1656"/>
            <w:vAlign w:val="center"/>
          </w:tcPr>
          <w:p>
            <w:pPr>
              <w:spacing w:after="0"/>
            </w:pPr>
            <w:r/>
            <w:r>
              <w:rPr>
                <w:rFonts w:ascii="Aptos" w:hAnsi="Aptos"/>
                <w:b w:val="0"/>
                <w:sz w:val="15"/>
              </w:rPr>
              <w:t>BULL</w:t>
            </w:r>
          </w:p>
        </w:tc>
      </w:tr>
      <w:tr>
        <w:tc>
          <w:tcPr>
            <w:tcW w:type="dxa" w:w="1440"/>
            <w:vAlign w:val="center"/>
          </w:tcPr>
          <w:p>
            <w:pPr>
              <w:spacing w:after="0"/>
            </w:pPr>
            <w:r/>
            <w:r>
              <w:rPr>
                <w:rFonts w:ascii="Aptos" w:hAnsi="Aptos"/>
                <w:b w:val="0"/>
                <w:sz w:val="15"/>
              </w:rPr>
              <w:t>BEAR_CF</w:t>
            </w:r>
          </w:p>
        </w:tc>
        <w:tc>
          <w:tcPr>
            <w:tcW w:type="dxa" w:w="3240"/>
            <w:vAlign w:val="center"/>
          </w:tcPr>
          <w:p>
            <w:pPr>
              <w:spacing w:after="0"/>
            </w:pPr>
            <w:r/>
            <w:r>
              <w:rPr>
                <w:rFonts w:ascii="Aptos" w:hAnsi="Aptos"/>
                <w:b w:val="0"/>
                <w:sz w:val="15"/>
              </w:rPr>
              <w:t>No additional favourable confirmation required</w:t>
            </w:r>
          </w:p>
        </w:tc>
        <w:tc>
          <w:tcPr>
            <w:tcW w:type="dxa" w:w="1656"/>
            <w:vAlign w:val="center"/>
          </w:tcPr>
          <w:p>
            <w:pPr>
              <w:spacing w:after="0"/>
            </w:pPr>
            <w:r/>
            <w:r>
              <w:rPr>
                <w:rFonts w:ascii="Aptos" w:hAnsi="Aptos"/>
                <w:b w:val="0"/>
                <w:sz w:val="15"/>
              </w:rPr>
              <w:t>Remain BEAR_CF</w:t>
            </w:r>
          </w:p>
        </w:tc>
        <w:tc>
          <w:tcPr>
            <w:tcW w:type="dxa" w:w="3240"/>
            <w:vAlign w:val="center"/>
          </w:tcPr>
          <w:p>
            <w:pPr>
              <w:spacing w:after="0"/>
            </w:pPr>
            <w:r/>
            <w:r>
              <w:rPr>
                <w:rFonts w:ascii="Aptos" w:hAnsi="Aptos"/>
                <w:b w:val="0"/>
                <w:sz w:val="15"/>
              </w:rPr>
              <w:t>CMP &gt;= PMH + a%</w:t>
            </w:r>
          </w:p>
        </w:tc>
        <w:tc>
          <w:tcPr>
            <w:tcW w:type="dxa" w:w="1656"/>
            <w:vAlign w:val="center"/>
          </w:tcPr>
          <w:p>
            <w:pPr>
              <w:spacing w:after="0"/>
            </w:pPr>
            <w:r/>
            <w:r>
              <w:rPr>
                <w:rFonts w:ascii="Aptos" w:hAnsi="Aptos"/>
                <w:b w:val="0"/>
                <w:sz w:val="15"/>
              </w:rPr>
              <w:t>BULL</w:t>
            </w:r>
          </w:p>
        </w:tc>
      </w:tr>
    </w:tbl>
    <w:p/>
    <w:tbl>
      <w:tblPr>
        <w:tblStyle w:val="TableGrid"/>
        <w:tblW w:type="auto" w:w="0"/>
        <w:tblLook w:firstColumn="1" w:firstRow="1" w:lastColumn="0" w:lastRow="0" w:noHBand="0" w:noVBand="1" w:val="04A0"/>
      </w:tblPr>
      <w:tblGrid>
        <w:gridCol w:w="10080"/>
      </w:tblGrid>
      <w:tr>
        <w:tc>
          <w:tcPr>
            <w:tcW w:type="dxa" w:w="10080"/>
            <w:shd w:fill="E2F0D9"/>
          </w:tcPr>
          <w:p>
            <w:pPr>
              <w:spacing w:after="0"/>
            </w:pPr>
            <w:r/>
            <w:r>
              <w:rPr>
                <w:rFonts w:ascii="Aptos" w:hAnsi="Aptos"/>
                <w:b/>
                <w:color w:val="1F4E79"/>
                <w:sz w:val="20"/>
              </w:rPr>
              <w:t>Boundary rule</w:t>
              <w:br/>
            </w:r>
            <w:r>
              <w:rPr>
                <w:rFonts w:ascii="Aptos" w:hAnsi="Aptos"/>
                <w:sz w:val="19"/>
              </w:rPr>
              <w:t>Bullish conditions use greater-than-or-equal (&gt;=). Bearish conditions use less-than-or-equal (&lt;=). Equality at the threshold is a valid transition.</w:t>
            </w:r>
          </w:p>
        </w:tc>
      </w:tr>
    </w:tbl>
    <w:p/>
    <w:p>
      <w:pPr>
        <w:pStyle w:val="Heading2"/>
      </w:pPr>
      <w:r>
        <w:t>5.2 Why confirmed-state reversal differs from unconfirmed-state reversal</w:t>
      </w:r>
    </w:p>
    <w:p>
      <w:r>
        <w:t>An unconfirmed Bull or Bear can reverse using weekly structure plus c%, because the direction has not yet reached confirmation. A confirmed state requires the stronger opposite previous-month threshold (PML - a% for Bull CF, PMH + a% for Bear CF). The implementation must not apply the weekly reversal rule to a confirmed state or the previous-month reversal rule to an unconfirmed state.</w:t>
      </w:r>
    </w:p>
    <w:p>
      <w:pPr>
        <w:pStyle w:val="Heading1"/>
      </w:pPr>
      <w:r>
        <w:t>6. Historical Bootstrap and Backward Borrowing</w:t>
      </w:r>
    </w:p>
    <w:p>
      <w:r>
        <w:t>Bootstrap is required when no reliable previously established Monthly Status is available, such as first initialization, incomplete persisted state, a new instrument, or historical backfill. The process evaluates the current month against the previous month. If the month does not establish a valid state, it borrows the previous month’s status and continues backward until a determinable state is found.</w:t>
      </w:r>
    </w:p>
    <w:p>
      <w:pPr>
        <w:spacing w:after="40"/>
        <w:ind w:left="317" w:hanging="317"/>
      </w:pPr>
      <w:r>
        <w:rPr>
          <w:b/>
        </w:rPr>
        <w:t xml:space="preserve">1. </w:t>
      </w:r>
      <w:r>
        <w:t>Treat the month being evaluated as Current Month and the immediately preceding month as Previous Month.</w:t>
      </w:r>
    </w:p>
    <w:p>
      <w:pPr>
        <w:spacing w:after="40"/>
        <w:ind w:left="317" w:hanging="317"/>
      </w:pPr>
      <w:r>
        <w:rPr>
          <w:b/>
        </w:rPr>
        <w:t xml:space="preserve">2. </w:t>
      </w:r>
      <w:r>
        <w:t>Calculate Bullish Value = PMH + a% and Bearish Value = PML - a%.</w:t>
      </w:r>
    </w:p>
    <w:p>
      <w:pPr>
        <w:spacing w:after="40"/>
        <w:ind w:left="317" w:hanging="317"/>
      </w:pPr>
      <w:r>
        <w:rPr>
          <w:b/>
        </w:rPr>
        <w:t xml:space="preserve">3. </w:t>
      </w:r>
      <w:r>
        <w:t>Use CMH to test upward/bullish conditions and CML to test downward/bearish conditions.</w:t>
      </w:r>
    </w:p>
    <w:p>
      <w:pPr>
        <w:spacing w:after="40"/>
        <w:ind w:left="317" w:hanging="317"/>
      </w:pPr>
      <w:r>
        <w:rPr>
          <w:b/>
        </w:rPr>
        <w:t xml:space="preserve">4. </w:t>
      </w:r>
      <w:r>
        <w:t>If CMH reaches the bullish threshold, establish BULL; if it also reaches Bullish Value + b%, establish BULL_CF.</w:t>
      </w:r>
    </w:p>
    <w:p>
      <w:pPr>
        <w:spacing w:after="40"/>
        <w:ind w:left="317" w:hanging="317"/>
      </w:pPr>
      <w:r>
        <w:rPr>
          <w:b/>
        </w:rPr>
        <w:t xml:space="preserve">5. </w:t>
      </w:r>
      <w:r>
        <w:t>If CML reaches the bearish threshold, establish BEAR; if it also reaches Bearish Value - b%, establish BEAR_CF.</w:t>
      </w:r>
    </w:p>
    <w:p>
      <w:pPr>
        <w:spacing w:after="40"/>
        <w:ind w:left="317" w:hanging="317"/>
      </w:pPr>
      <w:r>
        <w:rPr>
          <w:b/>
        </w:rPr>
        <w:t xml:space="preserve">6. </w:t>
      </w:r>
      <w:r>
        <w:t>If neither side establishes a state, mark that month UNKNOWN and evaluate the previous month against its previous month.</w:t>
      </w:r>
    </w:p>
    <w:p>
      <w:pPr>
        <w:spacing w:after="40"/>
        <w:ind w:left="317" w:hanging="317"/>
      </w:pPr>
      <w:r>
        <w:rPr>
          <w:b/>
        </w:rPr>
        <w:t xml:space="preserve">7. </w:t>
      </w:r>
      <w:r>
        <w:t>Stop at the latest month with a determinable state.</w:t>
      </w:r>
    </w:p>
    <w:p>
      <w:pPr>
        <w:spacing w:after="40"/>
        <w:ind w:left="317" w:hanging="317"/>
      </w:pPr>
      <w:r>
        <w:rPr>
          <w:b/>
        </w:rPr>
        <w:t xml:space="preserve">8. </w:t>
      </w:r>
      <w:r>
        <w:t>Propagate that state forward through unresolved months, applying any later valid transitions in chronological order.</w:t>
      </w:r>
    </w:p>
    <w:p>
      <w:pPr>
        <w:spacing w:after="40"/>
        <w:ind w:left="317" w:hanging="317"/>
      </w:pPr>
      <w:r>
        <w:rPr>
          <w:b/>
        </w:rPr>
        <w:t xml:space="preserve">9. </w:t>
      </w:r>
      <w:r>
        <w:t>If sufficient history still cannot establish a state, return UNAVAILABLE and suppress fresh orders.</w:t>
      </w:r>
    </w:p>
    <w:tbl>
      <w:tblPr>
        <w:tblStyle w:val="TableGrid"/>
        <w:tblW w:type="auto" w:w="0"/>
        <w:tblLook w:firstColumn="1" w:firstRow="1" w:lastColumn="0" w:lastRow="0" w:noHBand="0" w:noVBand="1" w:val="04A0"/>
      </w:tblPr>
      <w:tblGrid>
        <w:gridCol w:w="10080"/>
      </w:tblGrid>
      <w:tr>
        <w:tc>
          <w:tcPr>
            <w:tcW w:type="dxa" w:w="10080"/>
            <w:shd w:fill="EAF2F8"/>
          </w:tcPr>
          <w:p>
            <w:pPr>
              <w:spacing w:after="0"/>
            </w:pPr>
            <w:r/>
            <w:r>
              <w:rPr>
                <w:rFonts w:ascii="Aptos" w:hAnsi="Aptos"/>
                <w:b/>
                <w:color w:val="1F4E79"/>
                <w:sz w:val="20"/>
              </w:rPr>
              <w:t>NIFTY walkthrough result</w:t>
              <w:br/>
            </w:r>
            <w:r>
              <w:rPr>
                <w:rFonts w:ascii="Aptos" w:hAnsi="Aptos"/>
                <w:sz w:val="19"/>
              </w:rPr>
              <w:t>In the supplied 03 June 2026 example, June borrowed May, May borrowed April and April borrowed March. March breached the February bearish threshold and the additional b% confirmation threshold; therefore March was BEARISH CONFIRMED, and that status propagated through April, May and June until a later valid transition.</w:t>
            </w:r>
          </w:p>
        </w:tc>
      </w:tr>
    </w:tbl>
    <w:p/>
    <w:p>
      <w:pPr>
        <w:pStyle w:val="Heading1"/>
      </w:pPr>
      <w:r>
        <w:t>7. Chronology and “Latest Valid Signal”</w:t>
      </w:r>
    </w:p>
    <w:p>
      <w:r>
        <w:t>If both bullish and bearish criteria are satisfied within the same relevant month, week or historical interval, the final status cannot be derived from unordered OHLC extremes alone. The transition sequence must be reconstructed from ordered observations or ordered TFIS evaluation points. The latest valid transition is authoritative.</w:t>
      </w:r>
    </w:p>
    <w:tbl>
      <w:tblPr>
        <w:tblStyle w:val="TableGrid"/>
        <w:tblW w:type="auto" w:w="0"/>
        <w:tblLook w:firstColumn="1" w:firstRow="1" w:lastColumn="0" w:lastRow="0" w:noHBand="0" w:noVBand="1" w:val="04A0"/>
      </w:tblPr>
      <w:tblGrid>
        <w:gridCol w:w="10080"/>
      </w:tblGrid>
      <w:tr>
        <w:tc>
          <w:tcPr>
            <w:tcW w:type="dxa" w:w="10080"/>
            <w:shd w:fill="FFF2CC"/>
          </w:tcPr>
          <w:p>
            <w:pPr>
              <w:spacing w:after="0"/>
            </w:pPr>
            <w:r/>
            <w:r>
              <w:rPr>
                <w:rFonts w:ascii="Aptos" w:hAnsi="Aptos"/>
                <w:b/>
                <w:color w:val="1F4E79"/>
                <w:sz w:val="20"/>
              </w:rPr>
              <w:t>Example</w:t>
              <w:br/>
            </w:r>
            <w:r>
              <w:rPr>
                <w:rFonts w:ascii="Aptos" w:hAnsi="Aptos"/>
                <w:sz w:val="19"/>
              </w:rPr>
              <w:t>If price first breaches the bearish criterion in the first half of a week and later reverses and breaches the applicable bullish criterion, the final result is bullish because the bullish transition is later. The opposite sequence produces a bearish result.</w:t>
            </w:r>
          </w:p>
        </w:tc>
      </w:tr>
    </w:tbl>
    <w:p/>
    <w:p>
      <w:pPr>
        <w:pStyle w:val="ListBullet"/>
        <w:spacing w:after="40"/>
      </w:pPr>
      <w:r>
        <w:t>Do not resolve competing transitions by fixed code order such as “check Bull first, otherwise Bear.”</w:t>
      </w:r>
    </w:p>
    <w:p>
      <w:pPr>
        <w:pStyle w:val="ListBullet"/>
        <w:spacing w:after="40"/>
      </w:pPr>
      <w:r>
        <w:t>Do not assume the higher absolute excursion is the final state.</w:t>
      </w:r>
    </w:p>
    <w:p>
      <w:pPr>
        <w:pStyle w:val="ListBullet"/>
        <w:spacing w:after="40"/>
      </w:pPr>
      <w:r>
        <w:t>When weekly/monthly OHLC proves that both thresholds were crossed but not which occurred last, use ordered lower-timeframe data.</w:t>
      </w:r>
    </w:p>
    <w:p>
      <w:pPr>
        <w:pStyle w:val="ListBullet"/>
        <w:spacing w:after="40"/>
      </w:pPr>
      <w:r>
        <w:t>For routine live operation, only actual TFIS fresh-order evaluation points create persisted transitions; the engine is not continuously polling Monthly Status.</w:t>
      </w:r>
    </w:p>
    <w:p>
      <w:pPr>
        <w:pStyle w:val="ListBullet"/>
        <w:spacing w:after="40"/>
      </w:pPr>
      <w:r>
        <w:t>For replay/backtest, reproduce the same evaluation timestamps and process them chronologically.</w:t>
      </w:r>
    </w:p>
    <w:p>
      <w:pPr>
        <w:pStyle w:val="Heading1"/>
      </w:pPr>
      <w:r>
        <w:t>8. Routine Evaluation at Fresh-Order Time</w:t>
      </w:r>
    </w:p>
    <w:p>
      <w:pPr>
        <w:jc w:val="center"/>
      </w:pPr>
      <w:r>
        <w:drawing>
          <wp:inline xmlns:a="http://schemas.openxmlformats.org/drawingml/2006/main" xmlns:pic="http://schemas.openxmlformats.org/drawingml/2006/picture">
            <wp:extent cx="5943600" cy="4370294"/>
            <wp:docPr id="3" name="Picture 3"/>
            <wp:cNvGraphicFramePr>
              <a:graphicFrameLocks noChangeAspect="1"/>
            </wp:cNvGraphicFramePr>
            <a:graphic>
              <a:graphicData uri="http://schemas.openxmlformats.org/drawingml/2006/picture">
                <pic:pic>
                  <pic:nvPicPr>
                    <pic:cNvPr id="0" name="monthly_status_runtime_flow.png"/>
                    <pic:cNvPicPr/>
                  </pic:nvPicPr>
                  <pic:blipFill>
                    <a:blip r:embed="rId10"/>
                    <a:stretch>
                      <a:fillRect/>
                    </a:stretch>
                  </pic:blipFill>
                  <pic:spPr>
                    <a:xfrm>
                      <a:off x="0" y="0"/>
                      <a:ext cx="5943600" cy="4370294"/>
                    </a:xfrm>
                    <a:prstGeom prst="rect"/>
                  </pic:spPr>
                </pic:pic>
              </a:graphicData>
            </a:graphic>
          </wp:inline>
        </w:drawing>
      </w:r>
    </w:p>
    <w:p>
      <w:pPr>
        <w:pStyle w:val="SmallNote"/>
        <w:jc w:val="center"/>
      </w:pPr>
      <w:r>
        <w:t>Figure 2. Runtime evaluation flow.</w:t>
      </w:r>
    </w:p>
    <w:p>
      <w:pPr>
        <w:spacing w:after="40"/>
        <w:ind w:left="317" w:hanging="317"/>
      </w:pPr>
      <w:r>
        <w:rPr>
          <w:b/>
        </w:rPr>
        <w:t xml:space="preserve">1. </w:t>
      </w:r>
      <w:r>
        <w:t>Resolve the strategy instance, segment, evaluation timestamp and authoritative CMP source.</w:t>
      </w:r>
    </w:p>
    <w:p>
      <w:pPr>
        <w:spacing w:after="40"/>
        <w:ind w:left="317" w:hanging="317"/>
      </w:pPr>
      <w:r>
        <w:rPr>
          <w:b/>
        </w:rPr>
        <w:t xml:space="preserve">2. </w:t>
      </w:r>
      <w:r>
        <w:t>Load the previously established valid Monthly Status, normally from the previous evaluation/day.</w:t>
      </w:r>
    </w:p>
    <w:p>
      <w:pPr>
        <w:spacing w:after="40"/>
        <w:ind w:left="317" w:hanging="317"/>
      </w:pPr>
      <w:r>
        <w:rPr>
          <w:b/>
        </w:rPr>
        <w:t xml:space="preserve">3. </w:t>
      </w:r>
      <w:r>
        <w:t>Resolve PMH, PML, PWH, PWL, CWH and CWL as of the evaluation time.</w:t>
      </w:r>
    </w:p>
    <w:p>
      <w:pPr>
        <w:spacing w:after="40"/>
        <w:ind w:left="317" w:hanging="317"/>
      </w:pPr>
      <w:r>
        <w:rPr>
          <w:b/>
        </w:rPr>
        <w:t xml:space="preserve">4. </w:t>
      </w:r>
      <w:r>
        <w:t>Evaluate only the transition conditions permitted from the current state.</w:t>
      </w:r>
    </w:p>
    <w:p>
      <w:pPr>
        <w:spacing w:after="40"/>
        <w:ind w:left="317" w:hanging="317"/>
      </w:pPr>
      <w:r>
        <w:rPr>
          <w:b/>
        </w:rPr>
        <w:t xml:space="preserve">5. </w:t>
      </w:r>
      <w:r>
        <w:t>If a valid transition condition is satisfied, persist the new state with reason and evidence.</w:t>
      </w:r>
    </w:p>
    <w:p>
      <w:pPr>
        <w:spacing w:after="40"/>
        <w:ind w:left="317" w:hanging="317"/>
      </w:pPr>
      <w:r>
        <w:rPr>
          <w:b/>
        </w:rPr>
        <w:t xml:space="preserve">6. </w:t>
      </w:r>
      <w:r>
        <w:t>If no valid transition is satisfied, retain the previous state.</w:t>
      </w:r>
    </w:p>
    <w:p>
      <w:pPr>
        <w:spacing w:after="40"/>
        <w:ind w:left="317" w:hanging="317"/>
      </w:pPr>
      <w:r>
        <w:rPr>
          <w:b/>
        </w:rPr>
        <w:t xml:space="preserve">7. </w:t>
      </w:r>
      <w:r>
        <w:t>Return the resolved status to the strategy-selection layer before any entry, gap, strike, premium, OI, stop or target formula is evaluated.</w:t>
      </w:r>
    </w:p>
    <w:p>
      <w:pPr>
        <w:spacing w:after="40"/>
        <w:ind w:left="317" w:hanging="317"/>
      </w:pPr>
      <w:r>
        <w:rPr>
          <w:b/>
        </w:rPr>
        <w:t xml:space="preserve">8. </w:t>
      </w:r>
      <w:r>
        <w:t>If status is UNKNOWN/UNAVAILABLE, suppress fresh orders and expose a named reason.</w:t>
      </w:r>
    </w:p>
    <w:tbl>
      <w:tblPr>
        <w:tblStyle w:val="TableGrid"/>
        <w:tblW w:type="auto" w:w="0"/>
        <w:tblLook w:firstColumn="1" w:firstRow="1" w:lastColumn="0" w:lastRow="0" w:noHBand="0" w:noVBand="1" w:val="04A0"/>
      </w:tblPr>
      <w:tblGrid>
        <w:gridCol w:w="10080"/>
      </w:tblGrid>
      <w:tr>
        <w:tc>
          <w:tcPr>
            <w:tcW w:type="dxa" w:w="10080"/>
            <w:shd w:fill="FCE4D6"/>
          </w:tcPr>
          <w:p>
            <w:pPr>
              <w:spacing w:after="0"/>
            </w:pPr>
            <w:r/>
            <w:r>
              <w:rPr>
                <w:rFonts w:ascii="Aptos" w:hAnsi="Aptos"/>
                <w:b/>
                <w:color w:val="1F4E79"/>
                <w:sz w:val="20"/>
              </w:rPr>
              <w:t>Important correction</w:t>
              <w:br/>
            </w:r>
            <w:r>
              <w:rPr>
                <w:rFonts w:ascii="Aptos" w:hAnsi="Aptos"/>
                <w:sz w:val="19"/>
              </w:rPr>
              <w:t>TFIS does not continuously monitor Monthly Status on every tick. Monthly Status is evaluated when TFIS performs a fresh-order calculation. An intraday threshold crossing that is not present at an evaluation point does not automatically create a persisted transition in routine operation.</w:t>
            </w:r>
          </w:p>
        </w:tc>
      </w:tr>
    </w:tbl>
    <w:p/>
    <w:p>
      <w:pPr>
        <w:pStyle w:val="Heading1"/>
      </w:pPr>
      <w:r>
        <w:t>9. Functional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440"/>
            <w:vAlign w:val="center"/>
            <w:shd w:fill="D9EAF7"/>
          </w:tcPr>
          <w:p>
            <w:pPr>
              <w:spacing w:after="0"/>
            </w:pPr>
            <w:r/>
            <w:r>
              <w:rPr>
                <w:rFonts w:ascii="Aptos" w:hAnsi="Aptos"/>
                <w:b/>
                <w:sz w:val="16"/>
              </w:rPr>
              <w:t>ID</w:t>
            </w:r>
          </w:p>
        </w:tc>
        <w:tc>
          <w:tcPr>
            <w:tcW w:type="dxa" w:w="9792"/>
            <w:vAlign w:val="center"/>
            <w:shd w:fill="D9EAF7"/>
          </w:tcPr>
          <w:p>
            <w:pPr>
              <w:spacing w:after="0"/>
            </w:pPr>
            <w:r/>
            <w:r>
              <w:rPr>
                <w:rFonts w:ascii="Aptos" w:hAnsi="Aptos"/>
                <w:b/>
                <w:sz w:val="16"/>
              </w:rPr>
              <w:t>Requirement</w:t>
            </w:r>
          </w:p>
        </w:tc>
      </w:tr>
      <w:tr>
        <w:tc>
          <w:tcPr>
            <w:tcW w:type="dxa" w:w="1440"/>
            <w:vAlign w:val="center"/>
          </w:tcPr>
          <w:p>
            <w:pPr>
              <w:spacing w:after="0"/>
            </w:pPr>
            <w:r/>
            <w:r>
              <w:rPr>
                <w:rFonts w:ascii="Aptos" w:hAnsi="Aptos"/>
                <w:b w:val="0"/>
                <w:sz w:val="16"/>
              </w:rPr>
              <w:t>MON-001</w:t>
            </w:r>
          </w:p>
        </w:tc>
        <w:tc>
          <w:tcPr>
            <w:tcW w:type="dxa" w:w="9792"/>
            <w:vAlign w:val="center"/>
          </w:tcPr>
          <w:p>
            <w:pPr>
              <w:spacing w:after="0"/>
            </w:pPr>
            <w:r/>
            <w:r>
              <w:rPr>
                <w:rFonts w:ascii="Aptos" w:hAnsi="Aptos"/>
                <w:b w:val="0"/>
                <w:sz w:val="16"/>
              </w:rPr>
              <w:t>Monthly Status shall be an explicit enum: BULL, BULL_CF, BEAR, BEAR_CF, UNKNOWN or UNAVAILABLE.</w:t>
            </w:r>
          </w:p>
        </w:tc>
      </w:tr>
      <w:tr>
        <w:tc>
          <w:tcPr>
            <w:tcW w:type="dxa" w:w="1440"/>
            <w:vAlign w:val="center"/>
          </w:tcPr>
          <w:p>
            <w:pPr>
              <w:spacing w:after="0"/>
            </w:pPr>
            <w:r/>
            <w:r>
              <w:rPr>
                <w:rFonts w:ascii="Aptos" w:hAnsi="Aptos"/>
                <w:b w:val="0"/>
                <w:sz w:val="16"/>
              </w:rPr>
              <w:t>MON-002</w:t>
            </w:r>
          </w:p>
        </w:tc>
        <w:tc>
          <w:tcPr>
            <w:tcW w:type="dxa" w:w="9792"/>
            <w:vAlign w:val="center"/>
          </w:tcPr>
          <w:p>
            <w:pPr>
              <w:spacing w:after="0"/>
            </w:pPr>
            <w:r/>
            <w:r>
              <w:rPr>
                <w:rFonts w:ascii="Aptos" w:hAnsi="Aptos"/>
                <w:b w:val="0"/>
                <w:sz w:val="16"/>
              </w:rPr>
              <w:t>Every fresh-order evaluation shall resolve Monthly Status before selecting a strategy branch.</w:t>
            </w:r>
          </w:p>
        </w:tc>
      </w:tr>
      <w:tr>
        <w:tc>
          <w:tcPr>
            <w:tcW w:type="dxa" w:w="1440"/>
            <w:vAlign w:val="center"/>
          </w:tcPr>
          <w:p>
            <w:pPr>
              <w:spacing w:after="0"/>
            </w:pPr>
            <w:r/>
            <w:r>
              <w:rPr>
                <w:rFonts w:ascii="Aptos" w:hAnsi="Aptos"/>
                <w:b w:val="0"/>
                <w:sz w:val="16"/>
              </w:rPr>
              <w:t>MON-003</w:t>
            </w:r>
          </w:p>
        </w:tc>
        <w:tc>
          <w:tcPr>
            <w:tcW w:type="dxa" w:w="9792"/>
            <w:vAlign w:val="center"/>
          </w:tcPr>
          <w:p>
            <w:pPr>
              <w:spacing w:after="0"/>
            </w:pPr>
            <w:r/>
            <w:r>
              <w:rPr>
                <w:rFonts w:ascii="Aptos" w:hAnsi="Aptos"/>
                <w:b w:val="0"/>
                <w:sz w:val="16"/>
              </w:rPr>
              <w:t>Routine evaluation shall start from the previously established valid state.</w:t>
            </w:r>
          </w:p>
        </w:tc>
      </w:tr>
      <w:tr>
        <w:tc>
          <w:tcPr>
            <w:tcW w:type="dxa" w:w="1440"/>
            <w:vAlign w:val="center"/>
          </w:tcPr>
          <w:p>
            <w:pPr>
              <w:spacing w:after="0"/>
            </w:pPr>
            <w:r/>
            <w:r>
              <w:rPr>
                <w:rFonts w:ascii="Aptos" w:hAnsi="Aptos"/>
                <w:b w:val="0"/>
                <w:sz w:val="16"/>
              </w:rPr>
              <w:t>MON-004</w:t>
            </w:r>
          </w:p>
        </w:tc>
        <w:tc>
          <w:tcPr>
            <w:tcW w:type="dxa" w:w="9792"/>
            <w:vAlign w:val="center"/>
          </w:tcPr>
          <w:p>
            <w:pPr>
              <w:spacing w:after="0"/>
            </w:pPr>
            <w:r/>
            <w:r>
              <w:rPr>
                <w:rFonts w:ascii="Aptos" w:hAnsi="Aptos"/>
                <w:b w:val="0"/>
                <w:sz w:val="16"/>
              </w:rPr>
              <w:t>Routine evaluation shall use CMP from the segment-specific authoritative source at the evaluation timestamp.</w:t>
            </w:r>
          </w:p>
        </w:tc>
      </w:tr>
      <w:tr>
        <w:tc>
          <w:tcPr>
            <w:tcW w:type="dxa" w:w="1440"/>
            <w:vAlign w:val="center"/>
          </w:tcPr>
          <w:p>
            <w:pPr>
              <w:spacing w:after="0"/>
            </w:pPr>
            <w:r/>
            <w:r>
              <w:rPr>
                <w:rFonts w:ascii="Aptos" w:hAnsi="Aptos"/>
                <w:b w:val="0"/>
                <w:sz w:val="16"/>
              </w:rPr>
              <w:t>MON-005</w:t>
            </w:r>
          </w:p>
        </w:tc>
        <w:tc>
          <w:tcPr>
            <w:tcW w:type="dxa" w:w="9792"/>
            <w:vAlign w:val="center"/>
          </w:tcPr>
          <w:p>
            <w:pPr>
              <w:spacing w:after="0"/>
            </w:pPr>
            <w:r/>
            <w:r>
              <w:rPr>
                <w:rFonts w:ascii="Aptos" w:hAnsi="Aptos"/>
                <w:b w:val="0"/>
                <w:sz w:val="16"/>
              </w:rPr>
              <w:t>If no transition condition is satisfied, the previous state shall be retained.</w:t>
            </w:r>
          </w:p>
        </w:tc>
      </w:tr>
      <w:tr>
        <w:tc>
          <w:tcPr>
            <w:tcW w:type="dxa" w:w="1440"/>
            <w:vAlign w:val="center"/>
          </w:tcPr>
          <w:p>
            <w:pPr>
              <w:spacing w:after="0"/>
            </w:pPr>
            <w:r/>
            <w:r>
              <w:rPr>
                <w:rFonts w:ascii="Aptos" w:hAnsi="Aptos"/>
                <w:b w:val="0"/>
                <w:sz w:val="16"/>
              </w:rPr>
              <w:t>MON-006</w:t>
            </w:r>
          </w:p>
        </w:tc>
        <w:tc>
          <w:tcPr>
            <w:tcW w:type="dxa" w:w="9792"/>
            <w:vAlign w:val="center"/>
          </w:tcPr>
          <w:p>
            <w:pPr>
              <w:spacing w:after="0"/>
            </w:pPr>
            <w:r/>
            <w:r>
              <w:rPr>
                <w:rFonts w:ascii="Aptos" w:hAnsi="Aptos"/>
                <w:b w:val="0"/>
                <w:sz w:val="16"/>
              </w:rPr>
              <w:t>Bullish comparisons shall use &gt;= and bearish comparisons shall use &lt;=.</w:t>
            </w:r>
          </w:p>
        </w:tc>
      </w:tr>
      <w:tr>
        <w:tc>
          <w:tcPr>
            <w:tcW w:type="dxa" w:w="1440"/>
            <w:vAlign w:val="center"/>
          </w:tcPr>
          <w:p>
            <w:pPr>
              <w:spacing w:after="0"/>
            </w:pPr>
            <w:r/>
            <w:r>
              <w:rPr>
                <w:rFonts w:ascii="Aptos" w:hAnsi="Aptos"/>
                <w:b w:val="0"/>
                <w:sz w:val="16"/>
              </w:rPr>
              <w:t>MON-007</w:t>
            </w:r>
          </w:p>
        </w:tc>
        <w:tc>
          <w:tcPr>
            <w:tcW w:type="dxa" w:w="9792"/>
            <w:vAlign w:val="center"/>
          </w:tcPr>
          <w:p>
            <w:pPr>
              <w:spacing w:after="0"/>
            </w:pPr>
            <w:r/>
            <w:r>
              <w:rPr>
                <w:rFonts w:ascii="Aptos" w:hAnsi="Aptos"/>
                <w:b w:val="0"/>
                <w:sz w:val="16"/>
              </w:rPr>
              <w:t>BULL shall transition to BULL_CF only at CMP &gt;= Bullish Value + b%.</w:t>
            </w:r>
          </w:p>
        </w:tc>
      </w:tr>
      <w:tr>
        <w:tc>
          <w:tcPr>
            <w:tcW w:type="dxa" w:w="1440"/>
            <w:vAlign w:val="center"/>
          </w:tcPr>
          <w:p>
            <w:pPr>
              <w:spacing w:after="0"/>
            </w:pPr>
            <w:r/>
            <w:r>
              <w:rPr>
                <w:rFonts w:ascii="Aptos" w:hAnsi="Aptos"/>
                <w:b w:val="0"/>
                <w:sz w:val="16"/>
              </w:rPr>
              <w:t>MON-008</w:t>
            </w:r>
          </w:p>
        </w:tc>
        <w:tc>
          <w:tcPr>
            <w:tcW w:type="dxa" w:w="9792"/>
            <w:vAlign w:val="center"/>
          </w:tcPr>
          <w:p>
            <w:pPr>
              <w:spacing w:after="0"/>
            </w:pPr>
            <w:r/>
            <w:r>
              <w:rPr>
                <w:rFonts w:ascii="Aptos" w:hAnsi="Aptos"/>
                <w:b w:val="0"/>
                <w:sz w:val="16"/>
              </w:rPr>
              <w:t>BULL shall transition to BEAR only at CMP &lt;= min(PWL, CWL) - c%.</w:t>
            </w:r>
          </w:p>
        </w:tc>
      </w:tr>
      <w:tr>
        <w:tc>
          <w:tcPr>
            <w:tcW w:type="dxa" w:w="1440"/>
            <w:vAlign w:val="center"/>
          </w:tcPr>
          <w:p>
            <w:pPr>
              <w:spacing w:after="0"/>
            </w:pPr>
            <w:r/>
            <w:r>
              <w:rPr>
                <w:rFonts w:ascii="Aptos" w:hAnsi="Aptos"/>
                <w:b w:val="0"/>
                <w:sz w:val="16"/>
              </w:rPr>
              <w:t>MON-009</w:t>
            </w:r>
          </w:p>
        </w:tc>
        <w:tc>
          <w:tcPr>
            <w:tcW w:type="dxa" w:w="9792"/>
            <w:vAlign w:val="center"/>
          </w:tcPr>
          <w:p>
            <w:pPr>
              <w:spacing w:after="0"/>
            </w:pPr>
            <w:r/>
            <w:r>
              <w:rPr>
                <w:rFonts w:ascii="Aptos" w:hAnsi="Aptos"/>
                <w:b w:val="0"/>
                <w:sz w:val="16"/>
              </w:rPr>
              <w:t>BULL_CF shall transition to BEAR only at CMP &lt;= PML - a%.</w:t>
            </w:r>
          </w:p>
        </w:tc>
      </w:tr>
      <w:tr>
        <w:tc>
          <w:tcPr>
            <w:tcW w:type="dxa" w:w="1440"/>
            <w:vAlign w:val="center"/>
          </w:tcPr>
          <w:p>
            <w:pPr>
              <w:spacing w:after="0"/>
            </w:pPr>
            <w:r/>
            <w:r>
              <w:rPr>
                <w:rFonts w:ascii="Aptos" w:hAnsi="Aptos"/>
                <w:b w:val="0"/>
                <w:sz w:val="16"/>
              </w:rPr>
              <w:t>MON-010</w:t>
            </w:r>
          </w:p>
        </w:tc>
        <w:tc>
          <w:tcPr>
            <w:tcW w:type="dxa" w:w="9792"/>
            <w:vAlign w:val="center"/>
          </w:tcPr>
          <w:p>
            <w:pPr>
              <w:spacing w:after="0"/>
            </w:pPr>
            <w:r/>
            <w:r>
              <w:rPr>
                <w:rFonts w:ascii="Aptos" w:hAnsi="Aptos"/>
                <w:b w:val="0"/>
                <w:sz w:val="16"/>
              </w:rPr>
              <w:t>BEAR shall transition to BEAR_CF only at CMP &lt;= Bearish Value - b%.</w:t>
            </w:r>
          </w:p>
        </w:tc>
      </w:tr>
      <w:tr>
        <w:tc>
          <w:tcPr>
            <w:tcW w:type="dxa" w:w="1440"/>
            <w:vAlign w:val="center"/>
          </w:tcPr>
          <w:p>
            <w:pPr>
              <w:spacing w:after="0"/>
            </w:pPr>
            <w:r/>
            <w:r>
              <w:rPr>
                <w:rFonts w:ascii="Aptos" w:hAnsi="Aptos"/>
                <w:b w:val="0"/>
                <w:sz w:val="16"/>
              </w:rPr>
              <w:t>MON-011</w:t>
            </w:r>
          </w:p>
        </w:tc>
        <w:tc>
          <w:tcPr>
            <w:tcW w:type="dxa" w:w="9792"/>
            <w:vAlign w:val="center"/>
          </w:tcPr>
          <w:p>
            <w:pPr>
              <w:spacing w:after="0"/>
            </w:pPr>
            <w:r/>
            <w:r>
              <w:rPr>
                <w:rFonts w:ascii="Aptos" w:hAnsi="Aptos"/>
                <w:b w:val="0"/>
                <w:sz w:val="16"/>
              </w:rPr>
              <w:t>BEAR shall transition to BULL only at CMP &gt;= max(PWH, CWH) + c%.</w:t>
            </w:r>
          </w:p>
        </w:tc>
      </w:tr>
      <w:tr>
        <w:tc>
          <w:tcPr>
            <w:tcW w:type="dxa" w:w="1440"/>
            <w:vAlign w:val="center"/>
          </w:tcPr>
          <w:p>
            <w:pPr>
              <w:spacing w:after="0"/>
            </w:pPr>
            <w:r/>
            <w:r>
              <w:rPr>
                <w:rFonts w:ascii="Aptos" w:hAnsi="Aptos"/>
                <w:b w:val="0"/>
                <w:sz w:val="16"/>
              </w:rPr>
              <w:t>MON-012</w:t>
            </w:r>
          </w:p>
        </w:tc>
        <w:tc>
          <w:tcPr>
            <w:tcW w:type="dxa" w:w="9792"/>
            <w:vAlign w:val="center"/>
          </w:tcPr>
          <w:p>
            <w:pPr>
              <w:spacing w:after="0"/>
            </w:pPr>
            <w:r/>
            <w:r>
              <w:rPr>
                <w:rFonts w:ascii="Aptos" w:hAnsi="Aptos"/>
                <w:b w:val="0"/>
                <w:sz w:val="16"/>
              </w:rPr>
              <w:t>BEAR_CF shall transition to BULL only at CMP &gt;= PMH + a%.</w:t>
            </w:r>
          </w:p>
        </w:tc>
      </w:tr>
      <w:tr>
        <w:tc>
          <w:tcPr>
            <w:tcW w:type="dxa" w:w="1440"/>
            <w:vAlign w:val="center"/>
          </w:tcPr>
          <w:p>
            <w:pPr>
              <w:spacing w:after="0"/>
            </w:pPr>
            <w:r/>
            <w:r>
              <w:rPr>
                <w:rFonts w:ascii="Aptos" w:hAnsi="Aptos"/>
                <w:b w:val="0"/>
                <w:sz w:val="16"/>
              </w:rPr>
              <w:t>MON-013</w:t>
            </w:r>
          </w:p>
        </w:tc>
        <w:tc>
          <w:tcPr>
            <w:tcW w:type="dxa" w:w="9792"/>
            <w:vAlign w:val="center"/>
          </w:tcPr>
          <w:p>
            <w:pPr>
              <w:spacing w:after="0"/>
            </w:pPr>
            <w:r/>
            <w:r>
              <w:rPr>
                <w:rFonts w:ascii="Aptos" w:hAnsi="Aptos"/>
                <w:b w:val="0"/>
                <w:sz w:val="16"/>
              </w:rPr>
              <w:t>Confirmed states shall remain confirmed on favourable movement; no further confirmation state exists.</w:t>
            </w:r>
          </w:p>
        </w:tc>
      </w:tr>
      <w:tr>
        <w:tc>
          <w:tcPr>
            <w:tcW w:type="dxa" w:w="1440"/>
            <w:vAlign w:val="center"/>
          </w:tcPr>
          <w:p>
            <w:pPr>
              <w:spacing w:after="0"/>
            </w:pPr>
            <w:r/>
            <w:r>
              <w:rPr>
                <w:rFonts w:ascii="Aptos" w:hAnsi="Aptos"/>
                <w:b w:val="0"/>
                <w:sz w:val="16"/>
              </w:rPr>
              <w:t>MON-014</w:t>
            </w:r>
          </w:p>
        </w:tc>
        <w:tc>
          <w:tcPr>
            <w:tcW w:type="dxa" w:w="9792"/>
            <w:vAlign w:val="center"/>
          </w:tcPr>
          <w:p>
            <w:pPr>
              <w:spacing w:after="0"/>
            </w:pPr>
            <w:r/>
            <w:r>
              <w:rPr>
                <w:rFonts w:ascii="Aptos" w:hAnsi="Aptos"/>
                <w:b w:val="0"/>
                <w:sz w:val="16"/>
              </w:rPr>
              <w:t>Bootstrap shall borrow backward month-by-month until a determinable state is found.</w:t>
            </w:r>
          </w:p>
        </w:tc>
      </w:tr>
      <w:tr>
        <w:tc>
          <w:tcPr>
            <w:tcW w:type="dxa" w:w="1440"/>
            <w:vAlign w:val="center"/>
          </w:tcPr>
          <w:p>
            <w:pPr>
              <w:spacing w:after="0"/>
            </w:pPr>
            <w:r/>
            <w:r>
              <w:rPr>
                <w:rFonts w:ascii="Aptos" w:hAnsi="Aptos"/>
                <w:b w:val="0"/>
                <w:sz w:val="16"/>
              </w:rPr>
              <w:t>MON-015</w:t>
            </w:r>
          </w:p>
        </w:tc>
        <w:tc>
          <w:tcPr>
            <w:tcW w:type="dxa" w:w="9792"/>
            <w:vAlign w:val="center"/>
          </w:tcPr>
          <w:p>
            <w:pPr>
              <w:spacing w:after="0"/>
            </w:pPr>
            <w:r/>
            <w:r>
              <w:rPr>
                <w:rFonts w:ascii="Aptos" w:hAnsi="Aptos"/>
                <w:b w:val="0"/>
                <w:sz w:val="16"/>
              </w:rPr>
              <w:t>Bootstrap shall use CMH for upward tests and CML for downward tests.</w:t>
            </w:r>
          </w:p>
        </w:tc>
      </w:tr>
      <w:tr>
        <w:tc>
          <w:tcPr>
            <w:tcW w:type="dxa" w:w="1440"/>
            <w:vAlign w:val="center"/>
          </w:tcPr>
          <w:p>
            <w:pPr>
              <w:spacing w:after="0"/>
            </w:pPr>
            <w:r/>
            <w:r>
              <w:rPr>
                <w:rFonts w:ascii="Aptos" w:hAnsi="Aptos"/>
                <w:b w:val="0"/>
                <w:sz w:val="16"/>
              </w:rPr>
              <w:t>MON-016</w:t>
            </w:r>
          </w:p>
        </w:tc>
        <w:tc>
          <w:tcPr>
            <w:tcW w:type="dxa" w:w="9792"/>
            <w:vAlign w:val="center"/>
          </w:tcPr>
          <w:p>
            <w:pPr>
              <w:spacing w:after="0"/>
            </w:pPr>
            <w:r/>
            <w:r>
              <w:rPr>
                <w:rFonts w:ascii="Aptos" w:hAnsi="Aptos"/>
                <w:b w:val="0"/>
                <w:sz w:val="16"/>
              </w:rPr>
              <w:t>If both directions are triggered within one period, chronological order shall determine the latest valid signal.</w:t>
            </w:r>
          </w:p>
        </w:tc>
      </w:tr>
      <w:tr>
        <w:tc>
          <w:tcPr>
            <w:tcW w:type="dxa" w:w="1440"/>
            <w:vAlign w:val="center"/>
          </w:tcPr>
          <w:p>
            <w:pPr>
              <w:spacing w:after="0"/>
            </w:pPr>
            <w:r/>
            <w:r>
              <w:rPr>
                <w:rFonts w:ascii="Aptos" w:hAnsi="Aptos"/>
                <w:b w:val="0"/>
                <w:sz w:val="16"/>
              </w:rPr>
              <w:t>MON-017</w:t>
            </w:r>
          </w:p>
        </w:tc>
        <w:tc>
          <w:tcPr>
            <w:tcW w:type="dxa" w:w="9792"/>
            <w:vAlign w:val="center"/>
          </w:tcPr>
          <w:p>
            <w:pPr>
              <w:spacing w:after="0"/>
            </w:pPr>
            <w:r/>
            <w:r>
              <w:rPr>
                <w:rFonts w:ascii="Aptos" w:hAnsi="Aptos"/>
                <w:b w:val="0"/>
                <w:sz w:val="16"/>
              </w:rPr>
              <w:t>CWH/CWL shall reset at the start of a new week; CMH/CML shall reset at the start of a new month.</w:t>
            </w:r>
          </w:p>
        </w:tc>
      </w:tr>
      <w:tr>
        <w:tc>
          <w:tcPr>
            <w:tcW w:type="dxa" w:w="1440"/>
            <w:vAlign w:val="center"/>
          </w:tcPr>
          <w:p>
            <w:pPr>
              <w:spacing w:after="0"/>
            </w:pPr>
            <w:r/>
            <w:r>
              <w:rPr>
                <w:rFonts w:ascii="Aptos" w:hAnsi="Aptos"/>
                <w:b w:val="0"/>
                <w:sz w:val="16"/>
              </w:rPr>
              <w:t>MON-018</w:t>
            </w:r>
          </w:p>
        </w:tc>
        <w:tc>
          <w:tcPr>
            <w:tcW w:type="dxa" w:w="9792"/>
            <w:vAlign w:val="center"/>
          </w:tcPr>
          <w:p>
            <w:pPr>
              <w:spacing w:after="0"/>
            </w:pPr>
            <w:r/>
            <w:r>
              <w:rPr>
                <w:rFonts w:ascii="Aptos" w:hAnsi="Aptos"/>
                <w:b w:val="0"/>
                <w:sz w:val="16"/>
              </w:rPr>
              <w:t>Monthly Status shall persist across week/month boundaries until a valid transition occurs.</w:t>
            </w:r>
          </w:p>
        </w:tc>
      </w:tr>
      <w:tr>
        <w:tc>
          <w:tcPr>
            <w:tcW w:type="dxa" w:w="1440"/>
            <w:vAlign w:val="center"/>
          </w:tcPr>
          <w:p>
            <w:pPr>
              <w:spacing w:after="0"/>
            </w:pPr>
            <w:r/>
            <w:r>
              <w:rPr>
                <w:rFonts w:ascii="Aptos" w:hAnsi="Aptos"/>
                <w:b w:val="0"/>
                <w:sz w:val="16"/>
              </w:rPr>
              <w:t>MON-019</w:t>
            </w:r>
          </w:p>
        </w:tc>
        <w:tc>
          <w:tcPr>
            <w:tcW w:type="dxa" w:w="9792"/>
            <w:vAlign w:val="center"/>
          </w:tcPr>
          <w:p>
            <w:pPr>
              <w:spacing w:after="0"/>
            </w:pPr>
            <w:r/>
            <w:r>
              <w:rPr>
                <w:rFonts w:ascii="Aptos" w:hAnsi="Aptos"/>
                <w:b w:val="0"/>
                <w:sz w:val="16"/>
              </w:rPr>
              <w:t>UNKNOWN/UNAVAILABLE shall never silently map to a tradeable strategy branch.</w:t>
            </w:r>
          </w:p>
        </w:tc>
      </w:tr>
      <w:tr>
        <w:tc>
          <w:tcPr>
            <w:tcW w:type="dxa" w:w="1440"/>
            <w:vAlign w:val="center"/>
          </w:tcPr>
          <w:p>
            <w:pPr>
              <w:spacing w:after="0"/>
            </w:pPr>
            <w:r/>
            <w:r>
              <w:rPr>
                <w:rFonts w:ascii="Aptos" w:hAnsi="Aptos"/>
                <w:b w:val="0"/>
                <w:sz w:val="16"/>
              </w:rPr>
              <w:t>MON-020</w:t>
            </w:r>
          </w:p>
        </w:tc>
        <w:tc>
          <w:tcPr>
            <w:tcW w:type="dxa" w:w="9792"/>
            <w:vAlign w:val="center"/>
          </w:tcPr>
          <w:p>
            <w:pPr>
              <w:spacing w:after="0"/>
            </w:pPr>
            <w:r/>
            <w:r>
              <w:rPr>
                <w:rFonts w:ascii="Aptos" w:hAnsi="Aptos"/>
                <w:b w:val="0"/>
                <w:sz w:val="16"/>
              </w:rPr>
              <w:t>The same calculation service and rule version shall be used by paper, live-decision, backtest and replay.</w:t>
            </w:r>
          </w:p>
        </w:tc>
      </w:tr>
      <w:tr>
        <w:tc>
          <w:tcPr>
            <w:tcW w:type="dxa" w:w="1440"/>
            <w:vAlign w:val="center"/>
          </w:tcPr>
          <w:p>
            <w:pPr>
              <w:spacing w:after="0"/>
            </w:pPr>
            <w:r/>
            <w:r>
              <w:rPr>
                <w:rFonts w:ascii="Aptos" w:hAnsi="Aptos"/>
                <w:b w:val="0"/>
                <w:sz w:val="16"/>
              </w:rPr>
              <w:t>MON-021</w:t>
            </w:r>
          </w:p>
        </w:tc>
        <w:tc>
          <w:tcPr>
            <w:tcW w:type="dxa" w:w="9792"/>
            <w:vAlign w:val="center"/>
          </w:tcPr>
          <w:p>
            <w:pPr>
              <w:spacing w:after="0"/>
            </w:pPr>
            <w:r/>
            <w:r>
              <w:rPr>
                <w:rFonts w:ascii="Aptos" w:hAnsi="Aptos"/>
                <w:b w:val="0"/>
                <w:sz w:val="16"/>
              </w:rPr>
              <w:t>Every result shall include previous state, new state, evaluation time, threshold values, rule ID and transition reason.</w:t>
            </w:r>
          </w:p>
        </w:tc>
      </w:tr>
      <w:tr>
        <w:tc>
          <w:tcPr>
            <w:tcW w:type="dxa" w:w="1440"/>
            <w:vAlign w:val="center"/>
          </w:tcPr>
          <w:p>
            <w:pPr>
              <w:spacing w:after="0"/>
            </w:pPr>
            <w:r/>
            <w:r>
              <w:rPr>
                <w:rFonts w:ascii="Aptos" w:hAnsi="Aptos"/>
                <w:b w:val="0"/>
                <w:sz w:val="16"/>
              </w:rPr>
              <w:t>MON-022</w:t>
            </w:r>
          </w:p>
        </w:tc>
        <w:tc>
          <w:tcPr>
            <w:tcW w:type="dxa" w:w="9792"/>
            <w:vAlign w:val="center"/>
          </w:tcPr>
          <w:p>
            <w:pPr>
              <w:spacing w:after="0"/>
            </w:pPr>
            <w:r/>
            <w:r>
              <w:rPr>
                <w:rFonts w:ascii="Aptos" w:hAnsi="Aptos"/>
                <w:b w:val="0"/>
                <w:sz w:val="16"/>
              </w:rPr>
              <w:t>a%, b% and c% shall be versioned configuration by segment/instrument group.</w:t>
            </w:r>
          </w:p>
        </w:tc>
      </w:tr>
      <w:tr>
        <w:tc>
          <w:tcPr>
            <w:tcW w:type="dxa" w:w="1440"/>
            <w:vAlign w:val="center"/>
          </w:tcPr>
          <w:p>
            <w:pPr>
              <w:spacing w:after="0"/>
            </w:pPr>
            <w:r/>
            <w:r>
              <w:rPr>
                <w:rFonts w:ascii="Aptos" w:hAnsi="Aptos"/>
                <w:b w:val="0"/>
                <w:sz w:val="16"/>
              </w:rPr>
              <w:t>MON-023</w:t>
            </w:r>
          </w:p>
        </w:tc>
        <w:tc>
          <w:tcPr>
            <w:tcW w:type="dxa" w:w="9792"/>
            <w:vAlign w:val="center"/>
          </w:tcPr>
          <w:p>
            <w:pPr>
              <w:spacing w:after="0"/>
            </w:pPr>
            <w:r/>
            <w:r>
              <w:rPr>
                <w:rFonts w:ascii="Aptos" w:hAnsi="Aptos"/>
                <w:b w:val="0"/>
                <w:sz w:val="16"/>
              </w:rPr>
              <w:t>Monthly Status shall be calculated once upstream and consumed by all strategies; strategies shall not recalculate it.</w:t>
            </w:r>
          </w:p>
        </w:tc>
      </w:tr>
      <w:tr>
        <w:tc>
          <w:tcPr>
            <w:tcW w:type="dxa" w:w="1440"/>
            <w:vAlign w:val="center"/>
          </w:tcPr>
          <w:p>
            <w:pPr>
              <w:spacing w:after="0"/>
            </w:pPr>
            <w:r/>
            <w:r>
              <w:rPr>
                <w:rFonts w:ascii="Aptos" w:hAnsi="Aptos"/>
                <w:b w:val="0"/>
                <w:sz w:val="16"/>
              </w:rPr>
              <w:t>MON-024</w:t>
            </w:r>
          </w:p>
        </w:tc>
        <w:tc>
          <w:tcPr>
            <w:tcW w:type="dxa" w:w="9792"/>
            <w:vAlign w:val="center"/>
          </w:tcPr>
          <w:p>
            <w:pPr>
              <w:spacing w:after="0"/>
            </w:pPr>
            <w:r/>
            <w:r>
              <w:rPr>
                <w:rFonts w:ascii="Aptos" w:hAnsi="Aptos"/>
                <w:b w:val="0"/>
                <w:sz w:val="16"/>
              </w:rPr>
              <w:t>If historical data is insufficient, the engine shall return UNAVAILABLE and suppress fresh orders.</w:t>
            </w:r>
          </w:p>
        </w:tc>
      </w:tr>
    </w:tbl>
    <w:p/>
    <w:p>
      <w:pPr>
        <w:pStyle w:val="Heading1"/>
      </w:pPr>
      <w:r>
        <w:t>10. Implementation Data Contract</w:t>
      </w:r>
    </w:p>
    <w:p>
      <w:pPr>
        <w:pStyle w:val="Heading2"/>
      </w:pPr>
      <w:r>
        <w:t>10.1 Required input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vAlign w:val="center"/>
            <w:shd w:fill="D9EAF7"/>
          </w:tcPr>
          <w:p>
            <w:pPr>
              <w:spacing w:after="0"/>
            </w:pPr>
            <w:r/>
            <w:r>
              <w:rPr>
                <w:rFonts w:ascii="Aptos" w:hAnsi="Aptos"/>
                <w:b/>
                <w:sz w:val="15"/>
              </w:rPr>
              <w:t>Field</w:t>
            </w:r>
          </w:p>
        </w:tc>
        <w:tc>
          <w:tcPr>
            <w:tcW w:type="dxa" w:w="5472"/>
            <w:vAlign w:val="center"/>
            <w:shd w:fill="D9EAF7"/>
          </w:tcPr>
          <w:p>
            <w:pPr>
              <w:spacing w:after="0"/>
            </w:pPr>
            <w:r/>
            <w:r>
              <w:rPr>
                <w:rFonts w:ascii="Aptos" w:hAnsi="Aptos"/>
                <w:b/>
                <w:sz w:val="15"/>
              </w:rPr>
              <w:t>Description</w:t>
            </w:r>
          </w:p>
        </w:tc>
        <w:tc>
          <w:tcPr>
            <w:tcW w:type="dxa" w:w="3312"/>
            <w:vAlign w:val="center"/>
            <w:shd w:fill="D9EAF7"/>
          </w:tcPr>
          <w:p>
            <w:pPr>
              <w:spacing w:after="0"/>
            </w:pPr>
            <w:r/>
            <w:r>
              <w:rPr>
                <w:rFonts w:ascii="Aptos" w:hAnsi="Aptos"/>
                <w:b/>
                <w:sz w:val="15"/>
              </w:rPr>
              <w:t>Required validation</w:t>
            </w:r>
          </w:p>
        </w:tc>
      </w:tr>
      <w:tr>
        <w:tc>
          <w:tcPr>
            <w:tcW w:type="dxa" w:w="2448"/>
            <w:vAlign w:val="center"/>
          </w:tcPr>
          <w:p>
            <w:pPr>
              <w:spacing w:after="0"/>
            </w:pPr>
            <w:r/>
            <w:r>
              <w:rPr>
                <w:rFonts w:ascii="Aptos" w:hAnsi="Aptos"/>
                <w:b w:val="0"/>
                <w:sz w:val="15"/>
              </w:rPr>
              <w:t>evaluation_id</w:t>
            </w:r>
          </w:p>
        </w:tc>
        <w:tc>
          <w:tcPr>
            <w:tcW w:type="dxa" w:w="5472"/>
            <w:vAlign w:val="center"/>
          </w:tcPr>
          <w:p>
            <w:pPr>
              <w:spacing w:after="0"/>
            </w:pPr>
            <w:r/>
            <w:r>
              <w:rPr>
                <w:rFonts w:ascii="Aptos" w:hAnsi="Aptos"/>
                <w:b w:val="0"/>
                <w:sz w:val="15"/>
              </w:rPr>
              <w:t>Unique deterministic evaluation identity.</w:t>
            </w:r>
          </w:p>
        </w:tc>
        <w:tc>
          <w:tcPr>
            <w:tcW w:type="dxa" w:w="3312"/>
            <w:vAlign w:val="center"/>
          </w:tcPr>
          <w:p>
            <w:pPr>
              <w:spacing w:after="0"/>
            </w:pPr>
            <w:r/>
            <w:r>
              <w:rPr>
                <w:rFonts w:ascii="Aptos" w:hAnsi="Aptos"/>
                <w:b w:val="0"/>
                <w:sz w:val="15"/>
              </w:rPr>
              <w:t>Stable across retries/replay.</w:t>
            </w:r>
          </w:p>
        </w:tc>
      </w:tr>
      <w:tr>
        <w:tc>
          <w:tcPr>
            <w:tcW w:type="dxa" w:w="2448"/>
            <w:vAlign w:val="center"/>
          </w:tcPr>
          <w:p>
            <w:pPr>
              <w:spacing w:after="0"/>
            </w:pPr>
            <w:r/>
            <w:r>
              <w:rPr>
                <w:rFonts w:ascii="Aptos" w:hAnsi="Aptos"/>
                <w:b w:val="0"/>
                <w:sz w:val="15"/>
              </w:rPr>
              <w:t>evaluation_at</w:t>
            </w:r>
          </w:p>
        </w:tc>
        <w:tc>
          <w:tcPr>
            <w:tcW w:type="dxa" w:w="5472"/>
            <w:vAlign w:val="center"/>
          </w:tcPr>
          <w:p>
            <w:pPr>
              <w:spacing w:after="0"/>
            </w:pPr>
            <w:r/>
            <w:r>
              <w:rPr>
                <w:rFonts w:ascii="Aptos" w:hAnsi="Aptos"/>
                <w:b w:val="0"/>
                <w:sz w:val="15"/>
              </w:rPr>
              <w:t>Market-time timestamp for fresh-order evaluation.</w:t>
            </w:r>
          </w:p>
        </w:tc>
        <w:tc>
          <w:tcPr>
            <w:tcW w:type="dxa" w:w="3312"/>
            <w:vAlign w:val="center"/>
          </w:tcPr>
          <w:p>
            <w:pPr>
              <w:spacing w:after="0"/>
            </w:pPr>
            <w:r/>
            <w:r>
              <w:rPr>
                <w:rFonts w:ascii="Aptos" w:hAnsi="Aptos"/>
                <w:b w:val="0"/>
                <w:sz w:val="15"/>
              </w:rPr>
              <w:t>Exchange timezone and session-valid.</w:t>
            </w:r>
          </w:p>
        </w:tc>
      </w:tr>
      <w:tr>
        <w:tc>
          <w:tcPr>
            <w:tcW w:type="dxa" w:w="2448"/>
            <w:vAlign w:val="center"/>
          </w:tcPr>
          <w:p>
            <w:pPr>
              <w:spacing w:after="0"/>
            </w:pPr>
            <w:r/>
            <w:r>
              <w:rPr>
                <w:rFonts w:ascii="Aptos" w:hAnsi="Aptos"/>
                <w:b w:val="0"/>
                <w:sz w:val="15"/>
              </w:rPr>
              <w:t>strategy_instance_id</w:t>
            </w:r>
          </w:p>
        </w:tc>
        <w:tc>
          <w:tcPr>
            <w:tcW w:type="dxa" w:w="5472"/>
            <w:vAlign w:val="center"/>
          </w:tcPr>
          <w:p>
            <w:pPr>
              <w:spacing w:after="0"/>
            </w:pPr>
            <w:r/>
            <w:r>
              <w:rPr>
                <w:rFonts w:ascii="Aptos" w:hAnsi="Aptos"/>
                <w:b w:val="0"/>
                <w:sz w:val="15"/>
              </w:rPr>
              <w:t>Strategy/instrument/account identity.</w:t>
            </w:r>
          </w:p>
        </w:tc>
        <w:tc>
          <w:tcPr>
            <w:tcW w:type="dxa" w:w="3312"/>
            <w:vAlign w:val="center"/>
          </w:tcPr>
          <w:p>
            <w:pPr>
              <w:spacing w:after="0"/>
            </w:pPr>
            <w:r/>
            <w:r>
              <w:rPr>
                <w:rFonts w:ascii="Aptos" w:hAnsi="Aptos"/>
                <w:b w:val="0"/>
                <w:sz w:val="15"/>
              </w:rPr>
              <w:t>No implicit defaults.</w:t>
            </w:r>
          </w:p>
        </w:tc>
      </w:tr>
      <w:tr>
        <w:tc>
          <w:tcPr>
            <w:tcW w:type="dxa" w:w="2448"/>
            <w:vAlign w:val="center"/>
          </w:tcPr>
          <w:p>
            <w:pPr>
              <w:spacing w:after="0"/>
            </w:pPr>
            <w:r/>
            <w:r>
              <w:rPr>
                <w:rFonts w:ascii="Aptos" w:hAnsi="Aptos"/>
                <w:b w:val="0"/>
                <w:sz w:val="15"/>
              </w:rPr>
              <w:t>segment / product_type</w:t>
            </w:r>
          </w:p>
        </w:tc>
        <w:tc>
          <w:tcPr>
            <w:tcW w:type="dxa" w:w="5472"/>
            <w:vAlign w:val="center"/>
          </w:tcPr>
          <w:p>
            <w:pPr>
              <w:spacing w:after="0"/>
            </w:pPr>
            <w:r/>
            <w:r>
              <w:rPr>
                <w:rFonts w:ascii="Aptos" w:hAnsi="Aptos"/>
                <w:b w:val="0"/>
                <w:sz w:val="15"/>
              </w:rPr>
              <w:t>Futures, Option Sell, Option Buy, Equity, Commodity, etc.</w:t>
            </w:r>
          </w:p>
        </w:tc>
        <w:tc>
          <w:tcPr>
            <w:tcW w:type="dxa" w:w="3312"/>
            <w:vAlign w:val="center"/>
          </w:tcPr>
          <w:p>
            <w:pPr>
              <w:spacing w:after="0"/>
            </w:pPr>
            <w:r/>
            <w:r>
              <w:rPr>
                <w:rFonts w:ascii="Aptos" w:hAnsi="Aptos"/>
                <w:b w:val="0"/>
                <w:sz w:val="15"/>
              </w:rPr>
              <w:t>Drives CMP source and parameter group.</w:t>
            </w:r>
          </w:p>
        </w:tc>
      </w:tr>
      <w:tr>
        <w:tc>
          <w:tcPr>
            <w:tcW w:type="dxa" w:w="2448"/>
            <w:vAlign w:val="center"/>
          </w:tcPr>
          <w:p>
            <w:pPr>
              <w:spacing w:after="0"/>
            </w:pPr>
            <w:r/>
            <w:r>
              <w:rPr>
                <w:rFonts w:ascii="Aptos" w:hAnsi="Aptos"/>
                <w:b w:val="0"/>
                <w:sz w:val="15"/>
              </w:rPr>
              <w:t>cmp / cmp_source</w:t>
            </w:r>
          </w:p>
        </w:tc>
        <w:tc>
          <w:tcPr>
            <w:tcW w:type="dxa" w:w="5472"/>
            <w:vAlign w:val="center"/>
          </w:tcPr>
          <w:p>
            <w:pPr>
              <w:spacing w:after="0"/>
            </w:pPr>
            <w:r/>
            <w:r>
              <w:rPr>
                <w:rFonts w:ascii="Aptos" w:hAnsi="Aptos"/>
                <w:b w:val="0"/>
                <w:sz w:val="15"/>
              </w:rPr>
              <w:t>Current Market Price and source identity.</w:t>
            </w:r>
          </w:p>
        </w:tc>
        <w:tc>
          <w:tcPr>
            <w:tcW w:type="dxa" w:w="3312"/>
            <w:vAlign w:val="center"/>
          </w:tcPr>
          <w:p>
            <w:pPr>
              <w:spacing w:after="0"/>
            </w:pPr>
            <w:r/>
            <w:r>
              <w:rPr>
                <w:rFonts w:ascii="Aptos" w:hAnsi="Aptos"/>
                <w:b w:val="0"/>
                <w:sz w:val="15"/>
              </w:rPr>
              <w:t>Fresh and appropriate for segment.</w:t>
            </w:r>
          </w:p>
        </w:tc>
      </w:tr>
      <w:tr>
        <w:tc>
          <w:tcPr>
            <w:tcW w:type="dxa" w:w="2448"/>
            <w:vAlign w:val="center"/>
          </w:tcPr>
          <w:p>
            <w:pPr>
              <w:spacing w:after="0"/>
            </w:pPr>
            <w:r/>
            <w:r>
              <w:rPr>
                <w:rFonts w:ascii="Aptos" w:hAnsi="Aptos"/>
                <w:b w:val="0"/>
                <w:sz w:val="15"/>
              </w:rPr>
              <w:t>previous_status</w:t>
            </w:r>
          </w:p>
        </w:tc>
        <w:tc>
          <w:tcPr>
            <w:tcW w:type="dxa" w:w="5472"/>
            <w:vAlign w:val="center"/>
          </w:tcPr>
          <w:p>
            <w:pPr>
              <w:spacing w:after="0"/>
            </w:pPr>
            <w:r/>
            <w:r>
              <w:rPr>
                <w:rFonts w:ascii="Aptos" w:hAnsi="Aptos"/>
                <w:b w:val="0"/>
                <w:sz w:val="15"/>
              </w:rPr>
              <w:t>Previously established Monthly Status.</w:t>
            </w:r>
          </w:p>
        </w:tc>
        <w:tc>
          <w:tcPr>
            <w:tcW w:type="dxa" w:w="3312"/>
            <w:vAlign w:val="center"/>
          </w:tcPr>
          <w:p>
            <w:pPr>
              <w:spacing w:after="0"/>
            </w:pPr>
            <w:r/>
            <w:r>
              <w:rPr>
                <w:rFonts w:ascii="Aptos" w:hAnsi="Aptos"/>
                <w:b w:val="0"/>
                <w:sz w:val="15"/>
              </w:rPr>
              <w:t>Required for routine evaluation; optional only for bootstrap.</w:t>
            </w:r>
          </w:p>
        </w:tc>
      </w:tr>
      <w:tr>
        <w:tc>
          <w:tcPr>
            <w:tcW w:type="dxa" w:w="2448"/>
            <w:vAlign w:val="center"/>
          </w:tcPr>
          <w:p>
            <w:pPr>
              <w:spacing w:after="0"/>
            </w:pPr>
            <w:r/>
            <w:r>
              <w:rPr>
                <w:rFonts w:ascii="Aptos" w:hAnsi="Aptos"/>
                <w:b w:val="0"/>
                <w:sz w:val="15"/>
              </w:rPr>
              <w:t>PMH/PML</w:t>
            </w:r>
          </w:p>
        </w:tc>
        <w:tc>
          <w:tcPr>
            <w:tcW w:type="dxa" w:w="5472"/>
            <w:vAlign w:val="center"/>
          </w:tcPr>
          <w:p>
            <w:pPr>
              <w:spacing w:after="0"/>
            </w:pPr>
            <w:r/>
            <w:r>
              <w:rPr>
                <w:rFonts w:ascii="Aptos" w:hAnsi="Aptos"/>
                <w:b w:val="0"/>
                <w:sz w:val="15"/>
              </w:rPr>
              <w:t>Previous month high/low.</w:t>
            </w:r>
          </w:p>
        </w:tc>
        <w:tc>
          <w:tcPr>
            <w:tcW w:type="dxa" w:w="3312"/>
            <w:vAlign w:val="center"/>
          </w:tcPr>
          <w:p>
            <w:pPr>
              <w:spacing w:after="0"/>
            </w:pPr>
            <w:r/>
            <w:r>
              <w:rPr>
                <w:rFonts w:ascii="Aptos" w:hAnsi="Aptos"/>
                <w:b w:val="0"/>
                <w:sz w:val="15"/>
              </w:rPr>
              <w:t>Complete previous month and correct source.</w:t>
            </w:r>
          </w:p>
        </w:tc>
      </w:tr>
      <w:tr>
        <w:tc>
          <w:tcPr>
            <w:tcW w:type="dxa" w:w="2448"/>
            <w:vAlign w:val="center"/>
          </w:tcPr>
          <w:p>
            <w:pPr>
              <w:spacing w:after="0"/>
            </w:pPr>
            <w:r/>
            <w:r>
              <w:rPr>
                <w:rFonts w:ascii="Aptos" w:hAnsi="Aptos"/>
                <w:b w:val="0"/>
                <w:sz w:val="15"/>
              </w:rPr>
              <w:t>CMH/CML</w:t>
            </w:r>
          </w:p>
        </w:tc>
        <w:tc>
          <w:tcPr>
            <w:tcW w:type="dxa" w:w="5472"/>
            <w:vAlign w:val="center"/>
          </w:tcPr>
          <w:p>
            <w:pPr>
              <w:spacing w:after="0"/>
            </w:pPr>
            <w:r/>
            <w:r>
              <w:rPr>
                <w:rFonts w:ascii="Aptos" w:hAnsi="Aptos"/>
                <w:b w:val="0"/>
                <w:sz w:val="15"/>
              </w:rPr>
              <w:t>Current month high/low as of evaluation.</w:t>
            </w:r>
          </w:p>
        </w:tc>
        <w:tc>
          <w:tcPr>
            <w:tcW w:type="dxa" w:w="3312"/>
            <w:vAlign w:val="center"/>
          </w:tcPr>
          <w:p>
            <w:pPr>
              <w:spacing w:after="0"/>
            </w:pPr>
            <w:r/>
            <w:r>
              <w:rPr>
                <w:rFonts w:ascii="Aptos" w:hAnsi="Aptos"/>
                <w:b w:val="0"/>
                <w:sz w:val="15"/>
              </w:rPr>
              <w:t>Current month only.</w:t>
            </w:r>
          </w:p>
        </w:tc>
      </w:tr>
      <w:tr>
        <w:tc>
          <w:tcPr>
            <w:tcW w:type="dxa" w:w="2448"/>
            <w:vAlign w:val="center"/>
          </w:tcPr>
          <w:p>
            <w:pPr>
              <w:spacing w:after="0"/>
            </w:pPr>
            <w:r/>
            <w:r>
              <w:rPr>
                <w:rFonts w:ascii="Aptos" w:hAnsi="Aptos"/>
                <w:b w:val="0"/>
                <w:sz w:val="15"/>
              </w:rPr>
              <w:t>PWH/PWL</w:t>
            </w:r>
          </w:p>
        </w:tc>
        <w:tc>
          <w:tcPr>
            <w:tcW w:type="dxa" w:w="5472"/>
            <w:vAlign w:val="center"/>
          </w:tcPr>
          <w:p>
            <w:pPr>
              <w:spacing w:after="0"/>
            </w:pPr>
            <w:r/>
            <w:r>
              <w:rPr>
                <w:rFonts w:ascii="Aptos" w:hAnsi="Aptos"/>
                <w:b w:val="0"/>
                <w:sz w:val="15"/>
              </w:rPr>
              <w:t>Previous week high/low.</w:t>
            </w:r>
          </w:p>
        </w:tc>
        <w:tc>
          <w:tcPr>
            <w:tcW w:type="dxa" w:w="3312"/>
            <w:vAlign w:val="center"/>
          </w:tcPr>
          <w:p>
            <w:pPr>
              <w:spacing w:after="0"/>
            </w:pPr>
            <w:r/>
            <w:r>
              <w:rPr>
                <w:rFonts w:ascii="Aptos" w:hAnsi="Aptos"/>
                <w:b w:val="0"/>
                <w:sz w:val="15"/>
              </w:rPr>
              <w:t>Complete previous week.</w:t>
            </w:r>
          </w:p>
        </w:tc>
      </w:tr>
      <w:tr>
        <w:tc>
          <w:tcPr>
            <w:tcW w:type="dxa" w:w="2448"/>
            <w:vAlign w:val="center"/>
          </w:tcPr>
          <w:p>
            <w:pPr>
              <w:spacing w:after="0"/>
            </w:pPr>
            <w:r/>
            <w:r>
              <w:rPr>
                <w:rFonts w:ascii="Aptos" w:hAnsi="Aptos"/>
                <w:b w:val="0"/>
                <w:sz w:val="15"/>
              </w:rPr>
              <w:t>CWH/CWL</w:t>
            </w:r>
          </w:p>
        </w:tc>
        <w:tc>
          <w:tcPr>
            <w:tcW w:type="dxa" w:w="5472"/>
            <w:vAlign w:val="center"/>
          </w:tcPr>
          <w:p>
            <w:pPr>
              <w:spacing w:after="0"/>
            </w:pPr>
            <w:r/>
            <w:r>
              <w:rPr>
                <w:rFonts w:ascii="Aptos" w:hAnsi="Aptos"/>
                <w:b w:val="0"/>
                <w:sz w:val="15"/>
              </w:rPr>
              <w:t>Current week high/low as of evaluation.</w:t>
            </w:r>
          </w:p>
        </w:tc>
        <w:tc>
          <w:tcPr>
            <w:tcW w:type="dxa" w:w="3312"/>
            <w:vAlign w:val="center"/>
          </w:tcPr>
          <w:p>
            <w:pPr>
              <w:spacing w:after="0"/>
            </w:pPr>
            <w:r/>
            <w:r>
              <w:rPr>
                <w:rFonts w:ascii="Aptos" w:hAnsi="Aptos"/>
                <w:b w:val="0"/>
                <w:sz w:val="15"/>
              </w:rPr>
              <w:t>Current week only.</w:t>
            </w:r>
          </w:p>
        </w:tc>
      </w:tr>
      <w:tr>
        <w:tc>
          <w:tcPr>
            <w:tcW w:type="dxa" w:w="2448"/>
            <w:vAlign w:val="center"/>
          </w:tcPr>
          <w:p>
            <w:pPr>
              <w:spacing w:after="0"/>
            </w:pPr>
            <w:r/>
            <w:r>
              <w:rPr>
                <w:rFonts w:ascii="Aptos" w:hAnsi="Aptos"/>
                <w:b w:val="0"/>
                <w:sz w:val="15"/>
              </w:rPr>
              <w:t>a/b/c</w:t>
            </w:r>
          </w:p>
        </w:tc>
        <w:tc>
          <w:tcPr>
            <w:tcW w:type="dxa" w:w="5472"/>
            <w:vAlign w:val="center"/>
          </w:tcPr>
          <w:p>
            <w:pPr>
              <w:spacing w:after="0"/>
            </w:pPr>
            <w:r/>
            <w:r>
              <w:rPr>
                <w:rFonts w:ascii="Aptos" w:hAnsi="Aptos"/>
                <w:b w:val="0"/>
                <w:sz w:val="15"/>
              </w:rPr>
              <w:t>Configured threshold percentages.</w:t>
            </w:r>
          </w:p>
        </w:tc>
        <w:tc>
          <w:tcPr>
            <w:tcW w:type="dxa" w:w="3312"/>
            <w:vAlign w:val="center"/>
          </w:tcPr>
          <w:p>
            <w:pPr>
              <w:spacing w:after="0"/>
            </w:pPr>
            <w:r/>
            <w:r>
              <w:rPr>
                <w:rFonts w:ascii="Aptos" w:hAnsi="Aptos"/>
                <w:b w:val="0"/>
                <w:sz w:val="15"/>
              </w:rPr>
              <w:t>Versioned and correct instrument group.</w:t>
            </w:r>
          </w:p>
        </w:tc>
      </w:tr>
      <w:tr>
        <w:tc>
          <w:tcPr>
            <w:tcW w:type="dxa" w:w="2448"/>
            <w:vAlign w:val="center"/>
          </w:tcPr>
          <w:p>
            <w:pPr>
              <w:spacing w:after="0"/>
            </w:pPr>
            <w:r/>
            <w:r>
              <w:rPr>
                <w:rFonts w:ascii="Aptos" w:hAnsi="Aptos"/>
                <w:b w:val="0"/>
                <w:sz w:val="15"/>
              </w:rPr>
              <w:t>ordered_history</w:t>
            </w:r>
          </w:p>
        </w:tc>
        <w:tc>
          <w:tcPr>
            <w:tcW w:type="dxa" w:w="5472"/>
            <w:vAlign w:val="center"/>
          </w:tcPr>
          <w:p>
            <w:pPr>
              <w:spacing w:after="0"/>
            </w:pPr>
            <w:r/>
            <w:r>
              <w:rPr>
                <w:rFonts w:ascii="Aptos" w:hAnsi="Aptos"/>
                <w:b w:val="0"/>
                <w:sz w:val="15"/>
              </w:rPr>
              <w:t>Ordered lower-timeframe/evaluation evidence when competing signals require sequence resolution.</w:t>
            </w:r>
          </w:p>
        </w:tc>
        <w:tc>
          <w:tcPr>
            <w:tcW w:type="dxa" w:w="3312"/>
            <w:vAlign w:val="center"/>
          </w:tcPr>
          <w:p>
            <w:pPr>
              <w:spacing w:after="0"/>
            </w:pPr>
            <w:r/>
            <w:r>
              <w:rPr>
                <w:rFonts w:ascii="Aptos" w:hAnsi="Aptos"/>
                <w:b w:val="0"/>
                <w:sz w:val="15"/>
              </w:rPr>
              <w:t>Market-time ordered.</w:t>
            </w:r>
          </w:p>
        </w:tc>
      </w:tr>
      <w:tr>
        <w:tc>
          <w:tcPr>
            <w:tcW w:type="dxa" w:w="2448"/>
            <w:vAlign w:val="center"/>
          </w:tcPr>
          <w:p>
            <w:pPr>
              <w:spacing w:after="0"/>
            </w:pPr>
            <w:r/>
            <w:r>
              <w:rPr>
                <w:rFonts w:ascii="Aptos" w:hAnsi="Aptos"/>
                <w:b w:val="0"/>
                <w:sz w:val="15"/>
              </w:rPr>
              <w:t>rule_version</w:t>
            </w:r>
          </w:p>
        </w:tc>
        <w:tc>
          <w:tcPr>
            <w:tcW w:type="dxa" w:w="5472"/>
            <w:vAlign w:val="center"/>
          </w:tcPr>
          <w:p>
            <w:pPr>
              <w:spacing w:after="0"/>
            </w:pPr>
            <w:r/>
            <w:r>
              <w:rPr>
                <w:rFonts w:ascii="Aptos" w:hAnsi="Aptos"/>
                <w:b w:val="0"/>
                <w:sz w:val="15"/>
              </w:rPr>
              <w:t>Specification/configuration version.</w:t>
            </w:r>
          </w:p>
        </w:tc>
        <w:tc>
          <w:tcPr>
            <w:tcW w:type="dxa" w:w="3312"/>
            <w:vAlign w:val="center"/>
          </w:tcPr>
          <w:p>
            <w:pPr>
              <w:spacing w:after="0"/>
            </w:pPr>
            <w:r/>
            <w:r>
              <w:rPr>
                <w:rFonts w:ascii="Aptos" w:hAnsi="Aptos"/>
                <w:b w:val="0"/>
                <w:sz w:val="15"/>
              </w:rPr>
              <w:t>Persist with output.</w:t>
            </w:r>
          </w:p>
        </w:tc>
      </w:tr>
    </w:tbl>
    <w:p/>
    <w:p>
      <w:pPr>
        <w:pStyle w:val="Heading2"/>
      </w:pPr>
      <w:r>
        <w:t>10.2 Required output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D9EAF7"/>
          </w:tcPr>
          <w:p>
            <w:pPr>
              <w:spacing w:after="0"/>
            </w:pPr>
            <w:r/>
            <w:r>
              <w:rPr>
                <w:rFonts w:ascii="Aptos" w:hAnsi="Aptos"/>
                <w:b/>
                <w:sz w:val="16"/>
              </w:rPr>
              <w:t>Field</w:t>
            </w:r>
          </w:p>
        </w:tc>
        <w:tc>
          <w:tcPr>
            <w:tcW w:type="dxa" w:w="8352"/>
            <w:vAlign w:val="center"/>
            <w:shd w:fill="D9EAF7"/>
          </w:tcPr>
          <w:p>
            <w:pPr>
              <w:spacing w:after="0"/>
            </w:pPr>
            <w:r/>
            <w:r>
              <w:rPr>
                <w:rFonts w:ascii="Aptos" w:hAnsi="Aptos"/>
                <w:b/>
                <w:sz w:val="16"/>
              </w:rPr>
              <w:t>Description</w:t>
            </w:r>
          </w:p>
        </w:tc>
      </w:tr>
      <w:tr>
        <w:tc>
          <w:tcPr>
            <w:tcW w:type="dxa" w:w="2880"/>
            <w:vAlign w:val="center"/>
          </w:tcPr>
          <w:p>
            <w:pPr>
              <w:spacing w:after="0"/>
            </w:pPr>
            <w:r/>
            <w:r>
              <w:rPr>
                <w:rFonts w:ascii="Aptos" w:hAnsi="Aptos"/>
                <w:b w:val="0"/>
                <w:sz w:val="16"/>
              </w:rPr>
              <w:t>status</w:t>
            </w:r>
          </w:p>
        </w:tc>
        <w:tc>
          <w:tcPr>
            <w:tcW w:type="dxa" w:w="8352"/>
            <w:vAlign w:val="center"/>
          </w:tcPr>
          <w:p>
            <w:pPr>
              <w:spacing w:after="0"/>
            </w:pPr>
            <w:r/>
            <w:r>
              <w:rPr>
                <w:rFonts w:ascii="Aptos" w:hAnsi="Aptos"/>
                <w:b w:val="0"/>
                <w:sz w:val="16"/>
              </w:rPr>
              <w:t>Resolved BULL, BULL_CF, BEAR, BEAR_CF, UNKNOWN or UNAVAILABLE.</w:t>
            </w:r>
          </w:p>
        </w:tc>
      </w:tr>
      <w:tr>
        <w:tc>
          <w:tcPr>
            <w:tcW w:type="dxa" w:w="2880"/>
            <w:vAlign w:val="center"/>
          </w:tcPr>
          <w:p>
            <w:pPr>
              <w:spacing w:after="0"/>
            </w:pPr>
            <w:r/>
            <w:r>
              <w:rPr>
                <w:rFonts w:ascii="Aptos" w:hAnsi="Aptos"/>
                <w:b w:val="0"/>
                <w:sz w:val="16"/>
              </w:rPr>
              <w:t>previous_status</w:t>
            </w:r>
          </w:p>
        </w:tc>
        <w:tc>
          <w:tcPr>
            <w:tcW w:type="dxa" w:w="8352"/>
            <w:vAlign w:val="center"/>
          </w:tcPr>
          <w:p>
            <w:pPr>
              <w:spacing w:after="0"/>
            </w:pPr>
            <w:r/>
            <w:r>
              <w:rPr>
                <w:rFonts w:ascii="Aptos" w:hAnsi="Aptos"/>
                <w:b w:val="0"/>
                <w:sz w:val="16"/>
              </w:rPr>
              <w:t>State used as the starting point.</w:t>
            </w:r>
          </w:p>
        </w:tc>
      </w:tr>
      <w:tr>
        <w:tc>
          <w:tcPr>
            <w:tcW w:type="dxa" w:w="2880"/>
            <w:vAlign w:val="center"/>
          </w:tcPr>
          <w:p>
            <w:pPr>
              <w:spacing w:after="0"/>
            </w:pPr>
            <w:r/>
            <w:r>
              <w:rPr>
                <w:rFonts w:ascii="Aptos" w:hAnsi="Aptos"/>
                <w:b w:val="0"/>
                <w:sz w:val="16"/>
              </w:rPr>
              <w:t>transitioned</w:t>
            </w:r>
          </w:p>
        </w:tc>
        <w:tc>
          <w:tcPr>
            <w:tcW w:type="dxa" w:w="8352"/>
            <w:vAlign w:val="center"/>
          </w:tcPr>
          <w:p>
            <w:pPr>
              <w:spacing w:after="0"/>
            </w:pPr>
            <w:r/>
            <w:r>
              <w:rPr>
                <w:rFonts w:ascii="Aptos" w:hAnsi="Aptos"/>
                <w:b w:val="0"/>
                <w:sz w:val="16"/>
              </w:rPr>
              <w:t>Whether state changed in this evaluation.</w:t>
            </w:r>
          </w:p>
        </w:tc>
      </w:tr>
      <w:tr>
        <w:tc>
          <w:tcPr>
            <w:tcW w:type="dxa" w:w="2880"/>
            <w:vAlign w:val="center"/>
          </w:tcPr>
          <w:p>
            <w:pPr>
              <w:spacing w:after="0"/>
            </w:pPr>
            <w:r/>
            <w:r>
              <w:rPr>
                <w:rFonts w:ascii="Aptos" w:hAnsi="Aptos"/>
                <w:b w:val="0"/>
                <w:sz w:val="16"/>
              </w:rPr>
              <w:t>transition_reason</w:t>
            </w:r>
          </w:p>
        </w:tc>
        <w:tc>
          <w:tcPr>
            <w:tcW w:type="dxa" w:w="8352"/>
            <w:vAlign w:val="center"/>
          </w:tcPr>
          <w:p>
            <w:pPr>
              <w:spacing w:after="0"/>
            </w:pPr>
            <w:r/>
            <w:r>
              <w:rPr>
                <w:rFonts w:ascii="Aptos" w:hAnsi="Aptos"/>
                <w:b w:val="0"/>
                <w:sz w:val="16"/>
              </w:rPr>
              <w:t>Named rule, e.g. MON-011, or retained/unavailable reason.</w:t>
            </w:r>
          </w:p>
        </w:tc>
      </w:tr>
      <w:tr>
        <w:tc>
          <w:tcPr>
            <w:tcW w:type="dxa" w:w="2880"/>
            <w:vAlign w:val="center"/>
          </w:tcPr>
          <w:p>
            <w:pPr>
              <w:spacing w:after="0"/>
            </w:pPr>
            <w:r/>
            <w:r>
              <w:rPr>
                <w:rFonts w:ascii="Aptos" w:hAnsi="Aptos"/>
                <w:b w:val="0"/>
                <w:sz w:val="16"/>
              </w:rPr>
              <w:t>effective_at</w:t>
            </w:r>
          </w:p>
        </w:tc>
        <w:tc>
          <w:tcPr>
            <w:tcW w:type="dxa" w:w="8352"/>
            <w:vAlign w:val="center"/>
          </w:tcPr>
          <w:p>
            <w:pPr>
              <w:spacing w:after="0"/>
            </w:pPr>
            <w:r/>
            <w:r>
              <w:rPr>
                <w:rFonts w:ascii="Aptos" w:hAnsi="Aptos"/>
                <w:b w:val="0"/>
                <w:sz w:val="16"/>
              </w:rPr>
              <w:t>Evaluation market time.</w:t>
            </w:r>
          </w:p>
        </w:tc>
      </w:tr>
      <w:tr>
        <w:tc>
          <w:tcPr>
            <w:tcW w:type="dxa" w:w="2880"/>
            <w:vAlign w:val="center"/>
          </w:tcPr>
          <w:p>
            <w:pPr>
              <w:spacing w:after="0"/>
            </w:pPr>
            <w:r/>
            <w:r>
              <w:rPr>
                <w:rFonts w:ascii="Aptos" w:hAnsi="Aptos"/>
                <w:b w:val="0"/>
                <w:sz w:val="16"/>
              </w:rPr>
              <w:t>thresholds</w:t>
            </w:r>
          </w:p>
        </w:tc>
        <w:tc>
          <w:tcPr>
            <w:tcW w:type="dxa" w:w="8352"/>
            <w:vAlign w:val="center"/>
          </w:tcPr>
          <w:p>
            <w:pPr>
              <w:spacing w:after="0"/>
            </w:pPr>
            <w:r/>
            <w:r>
              <w:rPr>
                <w:rFonts w:ascii="Aptos" w:hAnsi="Aptos"/>
                <w:b w:val="0"/>
                <w:sz w:val="16"/>
              </w:rPr>
              <w:t>Bullish Value, Bearish Value and applicable reversal/confirmation level.</w:t>
            </w:r>
          </w:p>
        </w:tc>
      </w:tr>
      <w:tr>
        <w:tc>
          <w:tcPr>
            <w:tcW w:type="dxa" w:w="2880"/>
            <w:vAlign w:val="center"/>
          </w:tcPr>
          <w:p>
            <w:pPr>
              <w:spacing w:after="0"/>
            </w:pPr>
            <w:r/>
            <w:r>
              <w:rPr>
                <w:rFonts w:ascii="Aptos" w:hAnsi="Aptos"/>
                <w:b w:val="0"/>
                <w:sz w:val="16"/>
              </w:rPr>
              <w:t>evidence</w:t>
            </w:r>
          </w:p>
        </w:tc>
        <w:tc>
          <w:tcPr>
            <w:tcW w:type="dxa" w:w="8352"/>
            <w:vAlign w:val="center"/>
          </w:tcPr>
          <w:p>
            <w:pPr>
              <w:spacing w:after="0"/>
            </w:pPr>
            <w:r/>
            <w:r>
              <w:rPr>
                <w:rFonts w:ascii="Aptos" w:hAnsi="Aptos"/>
                <w:b w:val="0"/>
                <w:sz w:val="16"/>
              </w:rPr>
              <w:t>CMP, PMH/PML, weekly levels, parameter values and ordered evidence where used.</w:t>
            </w:r>
          </w:p>
        </w:tc>
      </w:tr>
      <w:tr>
        <w:tc>
          <w:tcPr>
            <w:tcW w:type="dxa" w:w="2880"/>
            <w:vAlign w:val="center"/>
          </w:tcPr>
          <w:p>
            <w:pPr>
              <w:spacing w:after="0"/>
            </w:pPr>
            <w:r/>
            <w:r>
              <w:rPr>
                <w:rFonts w:ascii="Aptos" w:hAnsi="Aptos"/>
                <w:b w:val="0"/>
                <w:sz w:val="16"/>
              </w:rPr>
              <w:t>quality_status</w:t>
            </w:r>
          </w:p>
        </w:tc>
        <w:tc>
          <w:tcPr>
            <w:tcW w:type="dxa" w:w="8352"/>
            <w:vAlign w:val="center"/>
          </w:tcPr>
          <w:p>
            <w:pPr>
              <w:spacing w:after="0"/>
            </w:pPr>
            <w:r/>
            <w:r>
              <w:rPr>
                <w:rFonts w:ascii="Aptos" w:hAnsi="Aptos"/>
                <w:b w:val="0"/>
                <w:sz w:val="16"/>
              </w:rPr>
              <w:t>VALID, UNAVAILABLE or CONFLICTING.</w:t>
            </w:r>
          </w:p>
        </w:tc>
      </w:tr>
      <w:tr>
        <w:tc>
          <w:tcPr>
            <w:tcW w:type="dxa" w:w="2880"/>
            <w:vAlign w:val="center"/>
          </w:tcPr>
          <w:p>
            <w:pPr>
              <w:spacing w:after="0"/>
            </w:pPr>
            <w:r/>
            <w:r>
              <w:rPr>
                <w:rFonts w:ascii="Aptos" w:hAnsi="Aptos"/>
                <w:b w:val="0"/>
                <w:sz w:val="16"/>
              </w:rPr>
              <w:t>rule_version</w:t>
            </w:r>
          </w:p>
        </w:tc>
        <w:tc>
          <w:tcPr>
            <w:tcW w:type="dxa" w:w="8352"/>
            <w:vAlign w:val="center"/>
          </w:tcPr>
          <w:p>
            <w:pPr>
              <w:spacing w:after="0"/>
            </w:pPr>
            <w:r/>
            <w:r>
              <w:rPr>
                <w:rFonts w:ascii="Aptos" w:hAnsi="Aptos"/>
                <w:b w:val="0"/>
                <w:sz w:val="16"/>
              </w:rPr>
              <w:t>Rule/config version used.</w:t>
            </w:r>
          </w:p>
        </w:tc>
      </w:tr>
    </w:tbl>
    <w:p/>
    <w:p>
      <w:pPr>
        <w:pStyle w:val="Heading1"/>
      </w:pPr>
      <w:r>
        <w:t>11. Reference Pseudocode</w:t>
      </w:r>
    </w:p>
    <w:p>
      <w:pPr/>
      <w:r>
        <w:rPr>
          <w:rFonts w:ascii="Liberation Mono" w:hAnsi="Liberation Mono"/>
          <w:sz w:val="17"/>
        </w:rPr>
        <w:t>def evaluate_monthly_status(ctx):</w:t>
        <w:br/>
      </w:r>
      <w:r>
        <w:rPr>
          <w:rFonts w:ascii="Liberation Mono" w:hAnsi="Liberation Mono"/>
          <w:sz w:val="17"/>
        </w:rPr>
        <w:t xml:space="preserve">    validate_context(ctx)</w:t>
        <w:br/>
      </w:r>
      <w:r>
        <w:rPr>
          <w:rFonts w:ascii="Liberation Mono" w:hAnsi="Liberation Mono"/>
          <w:sz w:val="17"/>
        </w:rPr>
        <w:br/>
      </w:r>
      <w:r>
        <w:rPr>
          <w:rFonts w:ascii="Liberation Mono" w:hAnsi="Liberation Mono"/>
          <w:sz w:val="17"/>
        </w:rPr>
        <w:t xml:space="preserve">    if ctx.previous_status is None:</w:t>
        <w:br/>
      </w:r>
      <w:r>
        <w:rPr>
          <w:rFonts w:ascii="Liberation Mono" w:hAnsi="Liberation Mono"/>
          <w:sz w:val="17"/>
        </w:rPr>
        <w:t xml:space="preserve">        return bootstrap_monthly_status(ctx)</w:t>
        <w:br/>
      </w:r>
      <w:r>
        <w:rPr>
          <w:rFonts w:ascii="Liberation Mono" w:hAnsi="Liberation Mono"/>
          <w:sz w:val="17"/>
        </w:rPr>
        <w:br/>
      </w:r>
      <w:r>
        <w:rPr>
          <w:rFonts w:ascii="Liberation Mono" w:hAnsi="Liberation Mono"/>
          <w:sz w:val="17"/>
        </w:rPr>
        <w:t xml:space="preserve">    state = ctx.previous_status</w:t>
        <w:br/>
      </w:r>
      <w:r>
        <w:rPr>
          <w:rFonts w:ascii="Liberation Mono" w:hAnsi="Liberation Mono"/>
          <w:sz w:val="17"/>
        </w:rPr>
        <w:br/>
      </w:r>
      <w:r>
        <w:rPr>
          <w:rFonts w:ascii="Liberation Mono" w:hAnsi="Liberation Mono"/>
          <w:sz w:val="17"/>
        </w:rPr>
        <w:t xml:space="preserve">    if state == BULL:</w:t>
        <w:br/>
      </w:r>
      <w:r>
        <w:rPr>
          <w:rFonts w:ascii="Liberation Mono" w:hAnsi="Liberation Mono"/>
          <w:sz w:val="17"/>
        </w:rPr>
        <w:t xml:space="preserve">        if ctx.cmp &gt;= pct_up(ctx.bullish_value, ctx.b_pct):</w:t>
        <w:br/>
      </w:r>
      <w:r>
        <w:rPr>
          <w:rFonts w:ascii="Liberation Mono" w:hAnsi="Liberation Mono"/>
          <w:sz w:val="17"/>
        </w:rPr>
        <w:t xml:space="preserve">            return transition(BULL_CF, "MON-007")</w:t>
        <w:br/>
      </w:r>
      <w:r>
        <w:rPr>
          <w:rFonts w:ascii="Liberation Mono" w:hAnsi="Liberation Mono"/>
          <w:sz w:val="17"/>
        </w:rPr>
        <w:t xml:space="preserve">        if ctx.cmp &lt;= pct_down(min(ctx.pwl, ctx.cwl), ctx.c_pct):</w:t>
        <w:br/>
      </w:r>
      <w:r>
        <w:rPr>
          <w:rFonts w:ascii="Liberation Mono" w:hAnsi="Liberation Mono"/>
          <w:sz w:val="17"/>
        </w:rPr>
        <w:t xml:space="preserve">            return transition(BEAR, "MON-008")</w:t>
        <w:br/>
      </w:r>
      <w:r>
        <w:rPr>
          <w:rFonts w:ascii="Liberation Mono" w:hAnsi="Liberation Mono"/>
          <w:sz w:val="17"/>
        </w:rPr>
        <w:t xml:space="preserve">        return retain(BULL)</w:t>
        <w:br/>
      </w:r>
      <w:r>
        <w:rPr>
          <w:rFonts w:ascii="Liberation Mono" w:hAnsi="Liberation Mono"/>
          <w:sz w:val="17"/>
        </w:rPr>
        <w:br/>
      </w:r>
      <w:r>
        <w:rPr>
          <w:rFonts w:ascii="Liberation Mono" w:hAnsi="Liberation Mono"/>
          <w:sz w:val="17"/>
        </w:rPr>
        <w:t xml:space="preserve">    if state == BULL_CF:</w:t>
        <w:br/>
      </w:r>
      <w:r>
        <w:rPr>
          <w:rFonts w:ascii="Liberation Mono" w:hAnsi="Liberation Mono"/>
          <w:sz w:val="17"/>
        </w:rPr>
        <w:t xml:space="preserve">        if ctx.cmp &lt;= pct_down(ctx.pml, ctx.a_pct):</w:t>
        <w:br/>
      </w:r>
      <w:r>
        <w:rPr>
          <w:rFonts w:ascii="Liberation Mono" w:hAnsi="Liberation Mono"/>
          <w:sz w:val="17"/>
        </w:rPr>
        <w:t xml:space="preserve">            return transition(BEAR, "MON-009")</w:t>
        <w:br/>
      </w:r>
      <w:r>
        <w:rPr>
          <w:rFonts w:ascii="Liberation Mono" w:hAnsi="Liberation Mono"/>
          <w:sz w:val="17"/>
        </w:rPr>
        <w:t xml:space="preserve">        return retain(BULL_CF)</w:t>
        <w:br/>
      </w:r>
      <w:r>
        <w:rPr>
          <w:rFonts w:ascii="Liberation Mono" w:hAnsi="Liberation Mono"/>
          <w:sz w:val="17"/>
        </w:rPr>
        <w:br/>
      </w:r>
      <w:r>
        <w:rPr>
          <w:rFonts w:ascii="Liberation Mono" w:hAnsi="Liberation Mono"/>
          <w:sz w:val="17"/>
        </w:rPr>
        <w:t xml:space="preserve">    if state == BEAR:</w:t>
        <w:br/>
      </w:r>
      <w:r>
        <w:rPr>
          <w:rFonts w:ascii="Liberation Mono" w:hAnsi="Liberation Mono"/>
          <w:sz w:val="17"/>
        </w:rPr>
        <w:t xml:space="preserve">        if ctx.cmp &lt;= pct_down(ctx.bearish_value, ctx.b_pct):</w:t>
        <w:br/>
      </w:r>
      <w:r>
        <w:rPr>
          <w:rFonts w:ascii="Liberation Mono" w:hAnsi="Liberation Mono"/>
          <w:sz w:val="17"/>
        </w:rPr>
        <w:t xml:space="preserve">            return transition(BEAR_CF, "MON-010")</w:t>
        <w:br/>
      </w:r>
      <w:r>
        <w:rPr>
          <w:rFonts w:ascii="Liberation Mono" w:hAnsi="Liberation Mono"/>
          <w:sz w:val="17"/>
        </w:rPr>
        <w:t xml:space="preserve">        if ctx.cmp &gt;= pct_up(max(ctx.pwh, ctx.cwh), ctx.c_pct):</w:t>
        <w:br/>
      </w:r>
      <w:r>
        <w:rPr>
          <w:rFonts w:ascii="Liberation Mono" w:hAnsi="Liberation Mono"/>
          <w:sz w:val="17"/>
        </w:rPr>
        <w:t xml:space="preserve">            return transition(BULL, "MON-011")</w:t>
        <w:br/>
      </w:r>
      <w:r>
        <w:rPr>
          <w:rFonts w:ascii="Liberation Mono" w:hAnsi="Liberation Mono"/>
          <w:sz w:val="17"/>
        </w:rPr>
        <w:t xml:space="preserve">        return retain(BEAR)</w:t>
        <w:br/>
      </w:r>
      <w:r>
        <w:rPr>
          <w:rFonts w:ascii="Liberation Mono" w:hAnsi="Liberation Mono"/>
          <w:sz w:val="17"/>
        </w:rPr>
        <w:br/>
      </w:r>
      <w:r>
        <w:rPr>
          <w:rFonts w:ascii="Liberation Mono" w:hAnsi="Liberation Mono"/>
          <w:sz w:val="17"/>
        </w:rPr>
        <w:t xml:space="preserve">    if state == BEAR_CF:</w:t>
        <w:br/>
      </w:r>
      <w:r>
        <w:rPr>
          <w:rFonts w:ascii="Liberation Mono" w:hAnsi="Liberation Mono"/>
          <w:sz w:val="17"/>
        </w:rPr>
        <w:t xml:space="preserve">        if ctx.cmp &gt;= pct_up(ctx.pmh, ctx.a_pct):</w:t>
        <w:br/>
      </w:r>
      <w:r>
        <w:rPr>
          <w:rFonts w:ascii="Liberation Mono" w:hAnsi="Liberation Mono"/>
          <w:sz w:val="17"/>
        </w:rPr>
        <w:t xml:space="preserve">            return transition(BULL, "MON-012")</w:t>
        <w:br/>
      </w:r>
      <w:r>
        <w:rPr>
          <w:rFonts w:ascii="Liberation Mono" w:hAnsi="Liberation Mono"/>
          <w:sz w:val="17"/>
        </w:rPr>
        <w:t xml:space="preserve">        return retain(BEAR_CF)</w:t>
        <w:br/>
      </w:r>
      <w:r>
        <w:rPr>
          <w:rFonts w:ascii="Liberation Mono" w:hAnsi="Liberation Mono"/>
          <w:sz w:val="17"/>
        </w:rPr>
        <w:br/>
      </w:r>
      <w:r>
        <w:rPr>
          <w:rFonts w:ascii="Liberation Mono" w:hAnsi="Liberation Mono"/>
          <w:sz w:val="17"/>
        </w:rPr>
        <w:t xml:space="preserve">    return unavailable("unsupported_or_unknown_previous_status")</w:t>
        <w:br/>
      </w:r>
    </w:p>
    <w:tbl>
      <w:tblPr>
        <w:tblStyle w:val="TableGrid"/>
        <w:tblW w:type="auto" w:w="0"/>
        <w:tblLook w:firstColumn="1" w:firstRow="1" w:lastColumn="0" w:lastRow="0" w:noHBand="0" w:noVBand="1" w:val="04A0"/>
      </w:tblPr>
      <w:tblGrid>
        <w:gridCol w:w="10080"/>
      </w:tblGrid>
      <w:tr>
        <w:tc>
          <w:tcPr>
            <w:tcW w:type="dxa" w:w="10080"/>
            <w:shd w:fill="FFF2CC"/>
          </w:tcPr>
          <w:p>
            <w:pPr>
              <w:spacing w:after="0"/>
            </w:pPr>
            <w:r/>
            <w:r>
              <w:rPr>
                <w:rFonts w:ascii="Aptos" w:hAnsi="Aptos"/>
                <w:b/>
                <w:color w:val="1F4E79"/>
                <w:sz w:val="20"/>
              </w:rPr>
              <w:t>Precedence note</w:t>
              <w:br/>
            </w:r>
            <w:r>
              <w:rPr>
                <w:rFonts w:ascii="Aptos" w:hAnsi="Aptos"/>
                <w:sz w:val="19"/>
              </w:rPr>
              <w:t>The unconfirmed BULL and BEAR rules each have one favourable and one reversal condition. Under ordinary CMP evaluation these thresholds are directionally separated. If imported historical evidence proves multiple transitions, do not apply the single-evaluation function once; replay ordered observations/evaluation points through the state machine.</w:t>
            </w:r>
          </w:p>
        </w:tc>
      </w:tr>
    </w:tbl>
    <w:p/>
    <w:p>
      <w:pPr>
        <w:pStyle w:val="Heading1"/>
      </w:pPr>
      <w:r>
        <w:t>12. Deterministic Validation Matrix</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shd w:fill="D9EAF7"/>
          </w:tcPr>
          <w:p>
            <w:pPr>
              <w:spacing w:after="0"/>
            </w:pPr>
            <w:r/>
            <w:r>
              <w:rPr>
                <w:rFonts w:ascii="Aptos" w:hAnsi="Aptos"/>
                <w:b/>
                <w:sz w:val="15"/>
              </w:rPr>
              <w:t>Test ID</w:t>
            </w:r>
          </w:p>
        </w:tc>
        <w:tc>
          <w:tcPr>
            <w:tcW w:type="dxa" w:w="6048"/>
            <w:vAlign w:val="center"/>
            <w:shd w:fill="D9EAF7"/>
          </w:tcPr>
          <w:p>
            <w:pPr>
              <w:spacing w:after="0"/>
            </w:pPr>
            <w:r/>
            <w:r>
              <w:rPr>
                <w:rFonts w:ascii="Aptos" w:hAnsi="Aptos"/>
                <w:b/>
                <w:sz w:val="15"/>
              </w:rPr>
              <w:t>Scenario</w:t>
            </w:r>
          </w:p>
        </w:tc>
        <w:tc>
          <w:tcPr>
            <w:tcW w:type="dxa" w:w="3744"/>
            <w:vAlign w:val="center"/>
            <w:shd w:fill="D9EAF7"/>
          </w:tcPr>
          <w:p>
            <w:pPr>
              <w:spacing w:after="0"/>
            </w:pPr>
            <w:r/>
            <w:r>
              <w:rPr>
                <w:rFonts w:ascii="Aptos" w:hAnsi="Aptos"/>
                <w:b/>
                <w:sz w:val="15"/>
              </w:rPr>
              <w:t>Expected result</w:t>
            </w:r>
          </w:p>
        </w:tc>
      </w:tr>
      <w:tr>
        <w:tc>
          <w:tcPr>
            <w:tcW w:type="dxa" w:w="1440"/>
            <w:vAlign w:val="center"/>
          </w:tcPr>
          <w:p>
            <w:pPr>
              <w:spacing w:after="0"/>
            </w:pPr>
            <w:r/>
            <w:r>
              <w:rPr>
                <w:rFonts w:ascii="Aptos" w:hAnsi="Aptos"/>
                <w:b w:val="0"/>
                <w:sz w:val="15"/>
              </w:rPr>
              <w:t>MON-T01</w:t>
            </w:r>
          </w:p>
        </w:tc>
        <w:tc>
          <w:tcPr>
            <w:tcW w:type="dxa" w:w="6048"/>
            <w:vAlign w:val="center"/>
          </w:tcPr>
          <w:p>
            <w:pPr>
              <w:spacing w:after="0"/>
            </w:pPr>
            <w:r/>
            <w:r>
              <w:rPr>
                <w:rFonts w:ascii="Aptos" w:hAnsi="Aptos"/>
                <w:b w:val="0"/>
                <w:sz w:val="15"/>
              </w:rPr>
              <w:t>Prior BULL; CMP exactly Bullish Value + b%</w:t>
            </w:r>
          </w:p>
        </w:tc>
        <w:tc>
          <w:tcPr>
            <w:tcW w:type="dxa" w:w="3744"/>
            <w:vAlign w:val="center"/>
          </w:tcPr>
          <w:p>
            <w:pPr>
              <w:spacing w:after="0"/>
            </w:pPr>
            <w:r/>
            <w:r>
              <w:rPr>
                <w:rFonts w:ascii="Aptos" w:hAnsi="Aptos"/>
                <w:b w:val="0"/>
                <w:sz w:val="15"/>
              </w:rPr>
              <w:t>BULL_CF; equality triggers.</w:t>
            </w:r>
          </w:p>
        </w:tc>
      </w:tr>
      <w:tr>
        <w:tc>
          <w:tcPr>
            <w:tcW w:type="dxa" w:w="1440"/>
            <w:vAlign w:val="center"/>
          </w:tcPr>
          <w:p>
            <w:pPr>
              <w:spacing w:after="0"/>
            </w:pPr>
            <w:r/>
            <w:r>
              <w:rPr>
                <w:rFonts w:ascii="Aptos" w:hAnsi="Aptos"/>
                <w:b w:val="0"/>
                <w:sz w:val="15"/>
              </w:rPr>
              <w:t>MON-T02</w:t>
            </w:r>
          </w:p>
        </w:tc>
        <w:tc>
          <w:tcPr>
            <w:tcW w:type="dxa" w:w="6048"/>
            <w:vAlign w:val="center"/>
          </w:tcPr>
          <w:p>
            <w:pPr>
              <w:spacing w:after="0"/>
            </w:pPr>
            <w:r/>
            <w:r>
              <w:rPr>
                <w:rFonts w:ascii="Aptos" w:hAnsi="Aptos"/>
                <w:b w:val="0"/>
                <w:sz w:val="15"/>
              </w:rPr>
              <w:t>Prior BULL; CMP exactly min(PWL,CWL) - c%</w:t>
            </w:r>
          </w:p>
        </w:tc>
        <w:tc>
          <w:tcPr>
            <w:tcW w:type="dxa" w:w="3744"/>
            <w:vAlign w:val="center"/>
          </w:tcPr>
          <w:p>
            <w:pPr>
              <w:spacing w:after="0"/>
            </w:pPr>
            <w:r/>
            <w:r>
              <w:rPr>
                <w:rFonts w:ascii="Aptos" w:hAnsi="Aptos"/>
                <w:b w:val="0"/>
                <w:sz w:val="15"/>
              </w:rPr>
              <w:t>BEAR; equality triggers.</w:t>
            </w:r>
          </w:p>
        </w:tc>
      </w:tr>
      <w:tr>
        <w:tc>
          <w:tcPr>
            <w:tcW w:type="dxa" w:w="1440"/>
            <w:vAlign w:val="center"/>
          </w:tcPr>
          <w:p>
            <w:pPr>
              <w:spacing w:after="0"/>
            </w:pPr>
            <w:r/>
            <w:r>
              <w:rPr>
                <w:rFonts w:ascii="Aptos" w:hAnsi="Aptos"/>
                <w:b w:val="0"/>
                <w:sz w:val="15"/>
              </w:rPr>
              <w:t>MON-T03</w:t>
            </w:r>
          </w:p>
        </w:tc>
        <w:tc>
          <w:tcPr>
            <w:tcW w:type="dxa" w:w="6048"/>
            <w:vAlign w:val="center"/>
          </w:tcPr>
          <w:p>
            <w:pPr>
              <w:spacing w:after="0"/>
            </w:pPr>
            <w:r/>
            <w:r>
              <w:rPr>
                <w:rFonts w:ascii="Aptos" w:hAnsi="Aptos"/>
                <w:b w:val="0"/>
                <w:sz w:val="15"/>
              </w:rPr>
              <w:t>Prior BULL; neither condition</w:t>
            </w:r>
          </w:p>
        </w:tc>
        <w:tc>
          <w:tcPr>
            <w:tcW w:type="dxa" w:w="3744"/>
            <w:vAlign w:val="center"/>
          </w:tcPr>
          <w:p>
            <w:pPr>
              <w:spacing w:after="0"/>
            </w:pPr>
            <w:r/>
            <w:r>
              <w:rPr>
                <w:rFonts w:ascii="Aptos" w:hAnsi="Aptos"/>
                <w:b w:val="0"/>
                <w:sz w:val="15"/>
              </w:rPr>
              <w:t>Retain BULL.</w:t>
            </w:r>
          </w:p>
        </w:tc>
      </w:tr>
      <w:tr>
        <w:tc>
          <w:tcPr>
            <w:tcW w:type="dxa" w:w="1440"/>
            <w:vAlign w:val="center"/>
          </w:tcPr>
          <w:p>
            <w:pPr>
              <w:spacing w:after="0"/>
            </w:pPr>
            <w:r/>
            <w:r>
              <w:rPr>
                <w:rFonts w:ascii="Aptos" w:hAnsi="Aptos"/>
                <w:b w:val="0"/>
                <w:sz w:val="15"/>
              </w:rPr>
              <w:t>MON-T04</w:t>
            </w:r>
          </w:p>
        </w:tc>
        <w:tc>
          <w:tcPr>
            <w:tcW w:type="dxa" w:w="6048"/>
            <w:vAlign w:val="center"/>
          </w:tcPr>
          <w:p>
            <w:pPr>
              <w:spacing w:after="0"/>
            </w:pPr>
            <w:r/>
            <w:r>
              <w:rPr>
                <w:rFonts w:ascii="Aptos" w:hAnsi="Aptos"/>
                <w:b w:val="0"/>
                <w:sz w:val="15"/>
              </w:rPr>
              <w:t>Prior BULL_CF; CMP exactly PML - a%</w:t>
            </w:r>
          </w:p>
        </w:tc>
        <w:tc>
          <w:tcPr>
            <w:tcW w:type="dxa" w:w="3744"/>
            <w:vAlign w:val="center"/>
          </w:tcPr>
          <w:p>
            <w:pPr>
              <w:spacing w:after="0"/>
            </w:pPr>
            <w:r/>
            <w:r>
              <w:rPr>
                <w:rFonts w:ascii="Aptos" w:hAnsi="Aptos"/>
                <w:b w:val="0"/>
                <w:sz w:val="15"/>
              </w:rPr>
              <w:t>BEAR.</w:t>
            </w:r>
          </w:p>
        </w:tc>
      </w:tr>
      <w:tr>
        <w:tc>
          <w:tcPr>
            <w:tcW w:type="dxa" w:w="1440"/>
            <w:vAlign w:val="center"/>
          </w:tcPr>
          <w:p>
            <w:pPr>
              <w:spacing w:after="0"/>
            </w:pPr>
            <w:r/>
            <w:r>
              <w:rPr>
                <w:rFonts w:ascii="Aptos" w:hAnsi="Aptos"/>
                <w:b w:val="0"/>
                <w:sz w:val="15"/>
              </w:rPr>
              <w:t>MON-T05</w:t>
            </w:r>
          </w:p>
        </w:tc>
        <w:tc>
          <w:tcPr>
            <w:tcW w:type="dxa" w:w="6048"/>
            <w:vAlign w:val="center"/>
          </w:tcPr>
          <w:p>
            <w:pPr>
              <w:spacing w:after="0"/>
            </w:pPr>
            <w:r/>
            <w:r>
              <w:rPr>
                <w:rFonts w:ascii="Aptos" w:hAnsi="Aptos"/>
                <w:b w:val="0"/>
                <w:sz w:val="15"/>
              </w:rPr>
              <w:t>Prior BULL_CF; favourable rise</w:t>
            </w:r>
          </w:p>
        </w:tc>
        <w:tc>
          <w:tcPr>
            <w:tcW w:type="dxa" w:w="3744"/>
            <w:vAlign w:val="center"/>
          </w:tcPr>
          <w:p>
            <w:pPr>
              <w:spacing w:after="0"/>
            </w:pPr>
            <w:r/>
            <w:r>
              <w:rPr>
                <w:rFonts w:ascii="Aptos" w:hAnsi="Aptos"/>
                <w:b w:val="0"/>
                <w:sz w:val="15"/>
              </w:rPr>
              <w:t>Retain BULL_CF.</w:t>
            </w:r>
          </w:p>
        </w:tc>
      </w:tr>
      <w:tr>
        <w:tc>
          <w:tcPr>
            <w:tcW w:type="dxa" w:w="1440"/>
            <w:vAlign w:val="center"/>
          </w:tcPr>
          <w:p>
            <w:pPr>
              <w:spacing w:after="0"/>
            </w:pPr>
            <w:r/>
            <w:r>
              <w:rPr>
                <w:rFonts w:ascii="Aptos" w:hAnsi="Aptos"/>
                <w:b w:val="0"/>
                <w:sz w:val="15"/>
              </w:rPr>
              <w:t>MON-T06</w:t>
            </w:r>
          </w:p>
        </w:tc>
        <w:tc>
          <w:tcPr>
            <w:tcW w:type="dxa" w:w="6048"/>
            <w:vAlign w:val="center"/>
          </w:tcPr>
          <w:p>
            <w:pPr>
              <w:spacing w:after="0"/>
            </w:pPr>
            <w:r/>
            <w:r>
              <w:rPr>
                <w:rFonts w:ascii="Aptos" w:hAnsi="Aptos"/>
                <w:b w:val="0"/>
                <w:sz w:val="15"/>
              </w:rPr>
              <w:t>Prior BEAR; CMP exactly Bearish Value - b%</w:t>
            </w:r>
          </w:p>
        </w:tc>
        <w:tc>
          <w:tcPr>
            <w:tcW w:type="dxa" w:w="3744"/>
            <w:vAlign w:val="center"/>
          </w:tcPr>
          <w:p>
            <w:pPr>
              <w:spacing w:after="0"/>
            </w:pPr>
            <w:r/>
            <w:r>
              <w:rPr>
                <w:rFonts w:ascii="Aptos" w:hAnsi="Aptos"/>
                <w:b w:val="0"/>
                <w:sz w:val="15"/>
              </w:rPr>
              <w:t>BEAR_CF.</w:t>
            </w:r>
          </w:p>
        </w:tc>
      </w:tr>
      <w:tr>
        <w:tc>
          <w:tcPr>
            <w:tcW w:type="dxa" w:w="1440"/>
            <w:vAlign w:val="center"/>
          </w:tcPr>
          <w:p>
            <w:pPr>
              <w:spacing w:after="0"/>
            </w:pPr>
            <w:r/>
            <w:r>
              <w:rPr>
                <w:rFonts w:ascii="Aptos" w:hAnsi="Aptos"/>
                <w:b w:val="0"/>
                <w:sz w:val="15"/>
              </w:rPr>
              <w:t>MON-T07</w:t>
            </w:r>
          </w:p>
        </w:tc>
        <w:tc>
          <w:tcPr>
            <w:tcW w:type="dxa" w:w="6048"/>
            <w:vAlign w:val="center"/>
          </w:tcPr>
          <w:p>
            <w:pPr>
              <w:spacing w:after="0"/>
            </w:pPr>
            <w:r/>
            <w:r>
              <w:rPr>
                <w:rFonts w:ascii="Aptos" w:hAnsi="Aptos"/>
                <w:b w:val="0"/>
                <w:sz w:val="15"/>
              </w:rPr>
              <w:t>Prior BEAR; CMP exactly max(PWH,CWH) + c%</w:t>
            </w:r>
          </w:p>
        </w:tc>
        <w:tc>
          <w:tcPr>
            <w:tcW w:type="dxa" w:w="3744"/>
            <w:vAlign w:val="center"/>
          </w:tcPr>
          <w:p>
            <w:pPr>
              <w:spacing w:after="0"/>
            </w:pPr>
            <w:r/>
            <w:r>
              <w:rPr>
                <w:rFonts w:ascii="Aptos" w:hAnsi="Aptos"/>
                <w:b w:val="0"/>
                <w:sz w:val="15"/>
              </w:rPr>
              <w:t>BULL.</w:t>
            </w:r>
          </w:p>
        </w:tc>
      </w:tr>
      <w:tr>
        <w:tc>
          <w:tcPr>
            <w:tcW w:type="dxa" w:w="1440"/>
            <w:vAlign w:val="center"/>
          </w:tcPr>
          <w:p>
            <w:pPr>
              <w:spacing w:after="0"/>
            </w:pPr>
            <w:r/>
            <w:r>
              <w:rPr>
                <w:rFonts w:ascii="Aptos" w:hAnsi="Aptos"/>
                <w:b w:val="0"/>
                <w:sz w:val="15"/>
              </w:rPr>
              <w:t>MON-T08</w:t>
            </w:r>
          </w:p>
        </w:tc>
        <w:tc>
          <w:tcPr>
            <w:tcW w:type="dxa" w:w="6048"/>
            <w:vAlign w:val="center"/>
          </w:tcPr>
          <w:p>
            <w:pPr>
              <w:spacing w:after="0"/>
            </w:pPr>
            <w:r/>
            <w:r>
              <w:rPr>
                <w:rFonts w:ascii="Aptos" w:hAnsi="Aptos"/>
                <w:b w:val="0"/>
                <w:sz w:val="15"/>
              </w:rPr>
              <w:t>Prior BEAR; neither condition</w:t>
            </w:r>
          </w:p>
        </w:tc>
        <w:tc>
          <w:tcPr>
            <w:tcW w:type="dxa" w:w="3744"/>
            <w:vAlign w:val="center"/>
          </w:tcPr>
          <w:p>
            <w:pPr>
              <w:spacing w:after="0"/>
            </w:pPr>
            <w:r/>
            <w:r>
              <w:rPr>
                <w:rFonts w:ascii="Aptos" w:hAnsi="Aptos"/>
                <w:b w:val="0"/>
                <w:sz w:val="15"/>
              </w:rPr>
              <w:t>Retain BEAR.</w:t>
            </w:r>
          </w:p>
        </w:tc>
      </w:tr>
      <w:tr>
        <w:tc>
          <w:tcPr>
            <w:tcW w:type="dxa" w:w="1440"/>
            <w:vAlign w:val="center"/>
          </w:tcPr>
          <w:p>
            <w:pPr>
              <w:spacing w:after="0"/>
            </w:pPr>
            <w:r/>
            <w:r>
              <w:rPr>
                <w:rFonts w:ascii="Aptos" w:hAnsi="Aptos"/>
                <w:b w:val="0"/>
                <w:sz w:val="15"/>
              </w:rPr>
              <w:t>MON-T09</w:t>
            </w:r>
          </w:p>
        </w:tc>
        <w:tc>
          <w:tcPr>
            <w:tcW w:type="dxa" w:w="6048"/>
            <w:vAlign w:val="center"/>
          </w:tcPr>
          <w:p>
            <w:pPr>
              <w:spacing w:after="0"/>
            </w:pPr>
            <w:r/>
            <w:r>
              <w:rPr>
                <w:rFonts w:ascii="Aptos" w:hAnsi="Aptos"/>
                <w:b w:val="0"/>
                <w:sz w:val="15"/>
              </w:rPr>
              <w:t>Prior BEAR_CF; CMP exactly PMH + a%</w:t>
            </w:r>
          </w:p>
        </w:tc>
        <w:tc>
          <w:tcPr>
            <w:tcW w:type="dxa" w:w="3744"/>
            <w:vAlign w:val="center"/>
          </w:tcPr>
          <w:p>
            <w:pPr>
              <w:spacing w:after="0"/>
            </w:pPr>
            <w:r/>
            <w:r>
              <w:rPr>
                <w:rFonts w:ascii="Aptos" w:hAnsi="Aptos"/>
                <w:b w:val="0"/>
                <w:sz w:val="15"/>
              </w:rPr>
              <w:t>BULL.</w:t>
            </w:r>
          </w:p>
        </w:tc>
      </w:tr>
      <w:tr>
        <w:tc>
          <w:tcPr>
            <w:tcW w:type="dxa" w:w="1440"/>
            <w:vAlign w:val="center"/>
          </w:tcPr>
          <w:p>
            <w:pPr>
              <w:spacing w:after="0"/>
            </w:pPr>
            <w:r/>
            <w:r>
              <w:rPr>
                <w:rFonts w:ascii="Aptos" w:hAnsi="Aptos"/>
                <w:b w:val="0"/>
                <w:sz w:val="15"/>
              </w:rPr>
              <w:t>MON-T10</w:t>
            </w:r>
          </w:p>
        </w:tc>
        <w:tc>
          <w:tcPr>
            <w:tcW w:type="dxa" w:w="6048"/>
            <w:vAlign w:val="center"/>
          </w:tcPr>
          <w:p>
            <w:pPr>
              <w:spacing w:after="0"/>
            </w:pPr>
            <w:r/>
            <w:r>
              <w:rPr>
                <w:rFonts w:ascii="Aptos" w:hAnsi="Aptos"/>
                <w:b w:val="0"/>
                <w:sz w:val="15"/>
              </w:rPr>
              <w:t>Prior BEAR_CF; favourable fall</w:t>
            </w:r>
          </w:p>
        </w:tc>
        <w:tc>
          <w:tcPr>
            <w:tcW w:type="dxa" w:w="3744"/>
            <w:vAlign w:val="center"/>
          </w:tcPr>
          <w:p>
            <w:pPr>
              <w:spacing w:after="0"/>
            </w:pPr>
            <w:r/>
            <w:r>
              <w:rPr>
                <w:rFonts w:ascii="Aptos" w:hAnsi="Aptos"/>
                <w:b w:val="0"/>
                <w:sz w:val="15"/>
              </w:rPr>
              <w:t>Retain BEAR_CF.</w:t>
            </w:r>
          </w:p>
        </w:tc>
      </w:tr>
      <w:tr>
        <w:tc>
          <w:tcPr>
            <w:tcW w:type="dxa" w:w="1440"/>
            <w:vAlign w:val="center"/>
          </w:tcPr>
          <w:p>
            <w:pPr>
              <w:spacing w:after="0"/>
            </w:pPr>
            <w:r/>
            <w:r>
              <w:rPr>
                <w:rFonts w:ascii="Aptos" w:hAnsi="Aptos"/>
                <w:b w:val="0"/>
                <w:sz w:val="15"/>
              </w:rPr>
              <w:t>MON-T11</w:t>
            </w:r>
          </w:p>
        </w:tc>
        <w:tc>
          <w:tcPr>
            <w:tcW w:type="dxa" w:w="6048"/>
            <w:vAlign w:val="center"/>
          </w:tcPr>
          <w:p>
            <w:pPr>
              <w:spacing w:after="0"/>
            </w:pPr>
            <w:r/>
            <w:r>
              <w:rPr>
                <w:rFonts w:ascii="Aptos" w:hAnsi="Aptos"/>
                <w:b w:val="0"/>
                <w:sz w:val="15"/>
              </w:rPr>
              <w:t>Current month unresolved; previous month unresolved; third month BEAR_CF</w:t>
            </w:r>
          </w:p>
        </w:tc>
        <w:tc>
          <w:tcPr>
            <w:tcW w:type="dxa" w:w="3744"/>
            <w:vAlign w:val="center"/>
          </w:tcPr>
          <w:p>
            <w:pPr>
              <w:spacing w:after="0"/>
            </w:pPr>
            <w:r/>
            <w:r>
              <w:rPr>
                <w:rFonts w:ascii="Aptos" w:hAnsi="Aptos"/>
                <w:b w:val="0"/>
                <w:sz w:val="15"/>
              </w:rPr>
              <w:t>Borrow and propagate BEAR_CF.</w:t>
            </w:r>
          </w:p>
        </w:tc>
      </w:tr>
      <w:tr>
        <w:tc>
          <w:tcPr>
            <w:tcW w:type="dxa" w:w="1440"/>
            <w:vAlign w:val="center"/>
          </w:tcPr>
          <w:p>
            <w:pPr>
              <w:spacing w:after="0"/>
            </w:pPr>
            <w:r/>
            <w:r>
              <w:rPr>
                <w:rFonts w:ascii="Aptos" w:hAnsi="Aptos"/>
                <w:b w:val="0"/>
                <w:sz w:val="15"/>
              </w:rPr>
              <w:t>MON-T12</w:t>
            </w:r>
          </w:p>
        </w:tc>
        <w:tc>
          <w:tcPr>
            <w:tcW w:type="dxa" w:w="6048"/>
            <w:vAlign w:val="center"/>
          </w:tcPr>
          <w:p>
            <w:pPr>
              <w:spacing w:after="0"/>
            </w:pPr>
            <w:r/>
            <w:r>
              <w:rPr>
                <w:rFonts w:ascii="Aptos" w:hAnsi="Aptos"/>
                <w:b w:val="0"/>
                <w:sz w:val="15"/>
              </w:rPr>
              <w:t>History insufficient</w:t>
            </w:r>
          </w:p>
        </w:tc>
        <w:tc>
          <w:tcPr>
            <w:tcW w:type="dxa" w:w="3744"/>
            <w:vAlign w:val="center"/>
          </w:tcPr>
          <w:p>
            <w:pPr>
              <w:spacing w:after="0"/>
            </w:pPr>
            <w:r/>
            <w:r>
              <w:rPr>
                <w:rFonts w:ascii="Aptos" w:hAnsi="Aptos"/>
                <w:b w:val="0"/>
                <w:sz w:val="15"/>
              </w:rPr>
              <w:t>UNAVAILABLE; fresh order suppressed.</w:t>
            </w:r>
          </w:p>
        </w:tc>
      </w:tr>
      <w:tr>
        <w:tc>
          <w:tcPr>
            <w:tcW w:type="dxa" w:w="1440"/>
            <w:vAlign w:val="center"/>
          </w:tcPr>
          <w:p>
            <w:pPr>
              <w:spacing w:after="0"/>
            </w:pPr>
            <w:r/>
            <w:r>
              <w:rPr>
                <w:rFonts w:ascii="Aptos" w:hAnsi="Aptos"/>
                <w:b w:val="0"/>
                <w:sz w:val="15"/>
              </w:rPr>
              <w:t>MON-T13</w:t>
            </w:r>
          </w:p>
        </w:tc>
        <w:tc>
          <w:tcPr>
            <w:tcW w:type="dxa" w:w="6048"/>
            <w:vAlign w:val="center"/>
          </w:tcPr>
          <w:p>
            <w:pPr>
              <w:spacing w:after="0"/>
            </w:pPr>
            <w:r/>
            <w:r>
              <w:rPr>
                <w:rFonts w:ascii="Aptos" w:hAnsi="Aptos"/>
                <w:b w:val="0"/>
                <w:sz w:val="15"/>
              </w:rPr>
              <w:t>Both bearish then bullish thresholds breached in ordered history</w:t>
            </w:r>
          </w:p>
        </w:tc>
        <w:tc>
          <w:tcPr>
            <w:tcW w:type="dxa" w:w="3744"/>
            <w:vAlign w:val="center"/>
          </w:tcPr>
          <w:p>
            <w:pPr>
              <w:spacing w:after="0"/>
            </w:pPr>
            <w:r/>
            <w:r>
              <w:rPr>
                <w:rFonts w:ascii="Aptos" w:hAnsi="Aptos"/>
                <w:b w:val="0"/>
                <w:sz w:val="15"/>
              </w:rPr>
              <w:t>Final state reflects later bullish transition.</w:t>
            </w:r>
          </w:p>
        </w:tc>
      </w:tr>
      <w:tr>
        <w:tc>
          <w:tcPr>
            <w:tcW w:type="dxa" w:w="1440"/>
            <w:vAlign w:val="center"/>
          </w:tcPr>
          <w:p>
            <w:pPr>
              <w:spacing w:after="0"/>
            </w:pPr>
            <w:r/>
            <w:r>
              <w:rPr>
                <w:rFonts w:ascii="Aptos" w:hAnsi="Aptos"/>
                <w:b w:val="0"/>
                <w:sz w:val="15"/>
              </w:rPr>
              <w:t>MON-T14</w:t>
            </w:r>
          </w:p>
        </w:tc>
        <w:tc>
          <w:tcPr>
            <w:tcW w:type="dxa" w:w="6048"/>
            <w:vAlign w:val="center"/>
          </w:tcPr>
          <w:p>
            <w:pPr>
              <w:spacing w:after="0"/>
            </w:pPr>
            <w:r/>
            <w:r>
              <w:rPr>
                <w:rFonts w:ascii="Aptos" w:hAnsi="Aptos"/>
                <w:b w:val="0"/>
                <w:sz w:val="15"/>
              </w:rPr>
              <w:t>Both bullish then bearish thresholds breached in ordered history</w:t>
            </w:r>
          </w:p>
        </w:tc>
        <w:tc>
          <w:tcPr>
            <w:tcW w:type="dxa" w:w="3744"/>
            <w:vAlign w:val="center"/>
          </w:tcPr>
          <w:p>
            <w:pPr>
              <w:spacing w:after="0"/>
            </w:pPr>
            <w:r/>
            <w:r>
              <w:rPr>
                <w:rFonts w:ascii="Aptos" w:hAnsi="Aptos"/>
                <w:b w:val="0"/>
                <w:sz w:val="15"/>
              </w:rPr>
              <w:t>Final state reflects later bearish transition.</w:t>
            </w:r>
          </w:p>
        </w:tc>
      </w:tr>
      <w:tr>
        <w:tc>
          <w:tcPr>
            <w:tcW w:type="dxa" w:w="1440"/>
            <w:vAlign w:val="center"/>
          </w:tcPr>
          <w:p>
            <w:pPr>
              <w:spacing w:after="0"/>
            </w:pPr>
            <w:r/>
            <w:r>
              <w:rPr>
                <w:rFonts w:ascii="Aptos" w:hAnsi="Aptos"/>
                <w:b w:val="0"/>
                <w:sz w:val="15"/>
              </w:rPr>
              <w:t>MON-T15</w:t>
            </w:r>
          </w:p>
        </w:tc>
        <w:tc>
          <w:tcPr>
            <w:tcW w:type="dxa" w:w="6048"/>
            <w:vAlign w:val="center"/>
          </w:tcPr>
          <w:p>
            <w:pPr>
              <w:spacing w:after="0"/>
            </w:pPr>
            <w:r/>
            <w:r>
              <w:rPr>
                <w:rFonts w:ascii="Aptos" w:hAnsi="Aptos"/>
                <w:b w:val="0"/>
                <w:sz w:val="15"/>
              </w:rPr>
              <w:t>Week boundary</w:t>
            </w:r>
          </w:p>
        </w:tc>
        <w:tc>
          <w:tcPr>
            <w:tcW w:type="dxa" w:w="3744"/>
            <w:vAlign w:val="center"/>
          </w:tcPr>
          <w:p>
            <w:pPr>
              <w:spacing w:after="0"/>
            </w:pPr>
            <w:r/>
            <w:r>
              <w:rPr>
                <w:rFonts w:ascii="Aptos" w:hAnsi="Aptos"/>
                <w:b w:val="0"/>
                <w:sz w:val="15"/>
              </w:rPr>
              <w:t>CWH/CWL reset; status persists.</w:t>
            </w:r>
          </w:p>
        </w:tc>
      </w:tr>
      <w:tr>
        <w:tc>
          <w:tcPr>
            <w:tcW w:type="dxa" w:w="1440"/>
            <w:vAlign w:val="center"/>
          </w:tcPr>
          <w:p>
            <w:pPr>
              <w:spacing w:after="0"/>
            </w:pPr>
            <w:r/>
            <w:r>
              <w:rPr>
                <w:rFonts w:ascii="Aptos" w:hAnsi="Aptos"/>
                <w:b w:val="0"/>
                <w:sz w:val="15"/>
              </w:rPr>
              <w:t>MON-T16</w:t>
            </w:r>
          </w:p>
        </w:tc>
        <w:tc>
          <w:tcPr>
            <w:tcW w:type="dxa" w:w="6048"/>
            <w:vAlign w:val="center"/>
          </w:tcPr>
          <w:p>
            <w:pPr>
              <w:spacing w:after="0"/>
            </w:pPr>
            <w:r/>
            <w:r>
              <w:rPr>
                <w:rFonts w:ascii="Aptos" w:hAnsi="Aptos"/>
                <w:b w:val="0"/>
                <w:sz w:val="15"/>
              </w:rPr>
              <w:t>Month boundary</w:t>
            </w:r>
          </w:p>
        </w:tc>
        <w:tc>
          <w:tcPr>
            <w:tcW w:type="dxa" w:w="3744"/>
            <w:vAlign w:val="center"/>
          </w:tcPr>
          <w:p>
            <w:pPr>
              <w:spacing w:after="0"/>
            </w:pPr>
            <w:r/>
            <w:r>
              <w:rPr>
                <w:rFonts w:ascii="Aptos" w:hAnsi="Aptos"/>
                <w:b w:val="0"/>
                <w:sz w:val="15"/>
              </w:rPr>
              <w:t>CMH/CML reset; status persists.</w:t>
            </w:r>
          </w:p>
        </w:tc>
      </w:tr>
      <w:tr>
        <w:tc>
          <w:tcPr>
            <w:tcW w:type="dxa" w:w="1440"/>
            <w:vAlign w:val="center"/>
          </w:tcPr>
          <w:p>
            <w:pPr>
              <w:spacing w:after="0"/>
            </w:pPr>
            <w:r/>
            <w:r>
              <w:rPr>
                <w:rFonts w:ascii="Aptos" w:hAnsi="Aptos"/>
                <w:b w:val="0"/>
                <w:sz w:val="15"/>
              </w:rPr>
              <w:t>MON-T17</w:t>
            </w:r>
          </w:p>
        </w:tc>
        <w:tc>
          <w:tcPr>
            <w:tcW w:type="dxa" w:w="6048"/>
            <w:vAlign w:val="center"/>
          </w:tcPr>
          <w:p>
            <w:pPr>
              <w:spacing w:after="0"/>
            </w:pPr>
            <w:r/>
            <w:r>
              <w:rPr>
                <w:rFonts w:ascii="Aptos" w:hAnsi="Aptos"/>
                <w:b w:val="0"/>
                <w:sz w:val="15"/>
              </w:rPr>
              <w:t>Option strategy receives futures CMP instead of spot</w:t>
            </w:r>
          </w:p>
        </w:tc>
        <w:tc>
          <w:tcPr>
            <w:tcW w:type="dxa" w:w="3744"/>
            <w:vAlign w:val="center"/>
          </w:tcPr>
          <w:p>
            <w:pPr>
              <w:spacing w:after="0"/>
            </w:pPr>
            <w:r/>
            <w:r>
              <w:rPr>
                <w:rFonts w:ascii="Aptos" w:hAnsi="Aptos"/>
                <w:b w:val="0"/>
                <w:sz w:val="15"/>
              </w:rPr>
              <w:t>Reject context/data quality failure.</w:t>
            </w:r>
          </w:p>
        </w:tc>
      </w:tr>
      <w:tr>
        <w:tc>
          <w:tcPr>
            <w:tcW w:type="dxa" w:w="1440"/>
            <w:vAlign w:val="center"/>
          </w:tcPr>
          <w:p>
            <w:pPr>
              <w:spacing w:after="0"/>
            </w:pPr>
            <w:r/>
            <w:r>
              <w:rPr>
                <w:rFonts w:ascii="Aptos" w:hAnsi="Aptos"/>
                <w:b w:val="0"/>
                <w:sz w:val="15"/>
              </w:rPr>
              <w:t>MON-T18</w:t>
            </w:r>
          </w:p>
        </w:tc>
        <w:tc>
          <w:tcPr>
            <w:tcW w:type="dxa" w:w="6048"/>
            <w:vAlign w:val="center"/>
          </w:tcPr>
          <w:p>
            <w:pPr>
              <w:spacing w:after="0"/>
            </w:pPr>
            <w:r/>
            <w:r>
              <w:rPr>
                <w:rFonts w:ascii="Aptos" w:hAnsi="Aptos"/>
                <w:b w:val="0"/>
                <w:sz w:val="15"/>
              </w:rPr>
              <w:t>Futures strategy receives spot CMP</w:t>
            </w:r>
          </w:p>
        </w:tc>
        <w:tc>
          <w:tcPr>
            <w:tcW w:type="dxa" w:w="3744"/>
            <w:vAlign w:val="center"/>
          </w:tcPr>
          <w:p>
            <w:pPr>
              <w:spacing w:after="0"/>
            </w:pPr>
            <w:r/>
            <w:r>
              <w:rPr>
                <w:rFonts w:ascii="Aptos" w:hAnsi="Aptos"/>
                <w:b w:val="0"/>
                <w:sz w:val="15"/>
              </w:rPr>
              <w:t>Reject context/data quality failure.</w:t>
            </w:r>
          </w:p>
        </w:tc>
      </w:tr>
      <w:tr>
        <w:tc>
          <w:tcPr>
            <w:tcW w:type="dxa" w:w="1440"/>
            <w:vAlign w:val="center"/>
          </w:tcPr>
          <w:p>
            <w:pPr>
              <w:spacing w:after="0"/>
            </w:pPr>
            <w:r/>
            <w:r>
              <w:rPr>
                <w:rFonts w:ascii="Aptos" w:hAnsi="Aptos"/>
                <w:b w:val="0"/>
                <w:sz w:val="15"/>
              </w:rPr>
              <w:t>MON-T19</w:t>
            </w:r>
          </w:p>
        </w:tc>
        <w:tc>
          <w:tcPr>
            <w:tcW w:type="dxa" w:w="6048"/>
            <w:vAlign w:val="center"/>
          </w:tcPr>
          <w:p>
            <w:pPr>
              <w:spacing w:after="0"/>
            </w:pPr>
            <w:r/>
            <w:r>
              <w:rPr>
                <w:rFonts w:ascii="Aptos" w:hAnsi="Aptos"/>
                <w:b w:val="0"/>
                <w:sz w:val="15"/>
              </w:rPr>
              <w:t>UNKNOWN status reaches strategy selector</w:t>
            </w:r>
          </w:p>
        </w:tc>
        <w:tc>
          <w:tcPr>
            <w:tcW w:type="dxa" w:w="3744"/>
            <w:vAlign w:val="center"/>
          </w:tcPr>
          <w:p>
            <w:pPr>
              <w:spacing w:after="0"/>
            </w:pPr>
            <w:r/>
            <w:r>
              <w:rPr>
                <w:rFonts w:ascii="Aptos" w:hAnsi="Aptos"/>
                <w:b w:val="0"/>
                <w:sz w:val="15"/>
              </w:rPr>
              <w:t>No trade; explicit reason.</w:t>
            </w:r>
          </w:p>
        </w:tc>
      </w:tr>
      <w:tr>
        <w:tc>
          <w:tcPr>
            <w:tcW w:type="dxa" w:w="1440"/>
            <w:vAlign w:val="center"/>
          </w:tcPr>
          <w:p>
            <w:pPr>
              <w:spacing w:after="0"/>
            </w:pPr>
            <w:r/>
            <w:r>
              <w:rPr>
                <w:rFonts w:ascii="Aptos" w:hAnsi="Aptos"/>
                <w:b w:val="0"/>
                <w:sz w:val="15"/>
              </w:rPr>
              <w:t>MON-T20</w:t>
            </w:r>
          </w:p>
        </w:tc>
        <w:tc>
          <w:tcPr>
            <w:tcW w:type="dxa" w:w="6048"/>
            <w:vAlign w:val="center"/>
          </w:tcPr>
          <w:p>
            <w:pPr>
              <w:spacing w:after="0"/>
            </w:pPr>
            <w:r/>
            <w:r>
              <w:rPr>
                <w:rFonts w:ascii="Aptos" w:hAnsi="Aptos"/>
                <w:b w:val="0"/>
                <w:sz w:val="15"/>
              </w:rPr>
              <w:t>Same input in paper/backtest/replay</w:t>
            </w:r>
          </w:p>
        </w:tc>
        <w:tc>
          <w:tcPr>
            <w:tcW w:type="dxa" w:w="3744"/>
            <w:vAlign w:val="center"/>
          </w:tcPr>
          <w:p>
            <w:pPr>
              <w:spacing w:after="0"/>
            </w:pPr>
            <w:r/>
            <w:r>
              <w:rPr>
                <w:rFonts w:ascii="Aptos" w:hAnsi="Aptos"/>
                <w:b w:val="0"/>
                <w:sz w:val="15"/>
              </w:rPr>
              <w:t>Identical status, thresholds, reason and evidence.</w:t>
            </w:r>
          </w:p>
        </w:tc>
      </w:tr>
    </w:tbl>
    <w:p/>
    <w:p>
      <w:pPr>
        <w:pStyle w:val="Heading1"/>
      </w:pPr>
      <w:r>
        <w:t>13. Architecture and Code-Review Rules</w:t>
      </w:r>
    </w:p>
    <w:p>
      <w:pPr>
        <w:pStyle w:val="ListBullet"/>
        <w:spacing w:after="40"/>
      </w:pPr>
      <w:r>
        <w:t>Provide one shared Monthly Status service. Do not embed transition rules in S21, S23 or any future strategy module.</w:t>
      </w:r>
    </w:p>
    <w:p>
      <w:pPr>
        <w:pStyle w:val="ListBullet"/>
        <w:spacing w:after="40"/>
      </w:pPr>
      <w:r>
        <w:t>Persist the last valid status and its evidence separately from current week/month aggregations.</w:t>
      </w:r>
    </w:p>
    <w:p>
      <w:pPr>
        <w:pStyle w:val="ListBullet"/>
        <w:spacing w:after="40"/>
      </w:pPr>
      <w:r>
        <w:t>Make routine evaluation a pure deterministic function of previous state plus current context.</w:t>
      </w:r>
    </w:p>
    <w:p>
      <w:pPr>
        <w:pStyle w:val="ListBullet"/>
        <w:spacing w:after="40"/>
      </w:pPr>
      <w:r>
        <w:t>Keep bootstrap/recovery logic separate from routine transition evaluation.</w:t>
      </w:r>
    </w:p>
    <w:p>
      <w:pPr>
        <w:pStyle w:val="ListBullet"/>
        <w:spacing w:after="40"/>
      </w:pPr>
      <w:r>
        <w:t>Use an explicit segment-to-CMP-source resolver; do not infer from strategy naming conventions.</w:t>
      </w:r>
    </w:p>
    <w:p>
      <w:pPr>
        <w:pStyle w:val="ListBullet"/>
        <w:spacing w:after="40"/>
      </w:pPr>
      <w:r>
        <w:t>Record requirement IDs and threshold calculations in the decision trace.</w:t>
      </w:r>
    </w:p>
    <w:p>
      <w:pPr>
        <w:pStyle w:val="ListBullet"/>
        <w:spacing w:after="40"/>
      </w:pPr>
      <w:r>
        <w:t>Paper, live-decision, backtest and replay must call the same domain service.</w:t>
      </w:r>
    </w:p>
    <w:p>
      <w:pPr>
        <w:pStyle w:val="ListBullet"/>
        <w:spacing w:after="40"/>
      </w:pPr>
      <w:r>
        <w:t>Do not allow the strategy selector to default UNKNOWN/UNAVAILABLE to Bull or Bear.</w:t>
      </w:r>
    </w:p>
    <w:p>
      <w:pPr>
        <w:pStyle w:val="ListBullet"/>
        <w:spacing w:after="40"/>
      </w:pPr>
      <w:r>
        <w:t>Do not change state because the executable contract rolls or expires.</w:t>
      </w:r>
    </w:p>
    <w:p>
      <w:pPr>
        <w:pStyle w:val="ListBullet"/>
        <w:spacing w:after="40"/>
      </w:pPr>
      <w:r>
        <w:t>Do not use current-day market structure as a substitute for Monthly Status.</w:t>
      </w:r>
    </w:p>
    <w:p>
      <w:pPr>
        <w:pStyle w:val="Heading2"/>
      </w:pPr>
      <w:r>
        <w:t>13.1 Minimum codebase audit checklist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896"/>
            <w:vAlign w:val="center"/>
            <w:shd w:fill="D9EAF7"/>
          </w:tcPr>
          <w:p>
            <w:pPr>
              <w:spacing w:after="0"/>
            </w:pPr>
            <w:r/>
            <w:r>
              <w:rPr>
                <w:rFonts w:ascii="Aptos" w:hAnsi="Aptos"/>
                <w:b/>
                <w:sz w:val="16"/>
              </w:rPr>
              <w:t>Review question</w:t>
            </w:r>
          </w:p>
        </w:tc>
        <w:tc>
          <w:tcPr>
            <w:tcW w:type="dxa" w:w="6336"/>
            <w:vAlign w:val="center"/>
            <w:shd w:fill="D9EAF7"/>
          </w:tcPr>
          <w:p>
            <w:pPr>
              <w:spacing w:after="0"/>
            </w:pPr>
            <w:r/>
            <w:r>
              <w:rPr>
                <w:rFonts w:ascii="Aptos" w:hAnsi="Aptos"/>
                <w:b/>
                <w:sz w:val="16"/>
              </w:rPr>
              <w:t>Pass condition</w:t>
            </w:r>
          </w:p>
        </w:tc>
      </w:tr>
      <w:tr>
        <w:tc>
          <w:tcPr>
            <w:tcW w:type="dxa" w:w="4896"/>
            <w:vAlign w:val="center"/>
          </w:tcPr>
          <w:p>
            <w:pPr>
              <w:spacing w:after="0"/>
            </w:pPr>
            <w:r/>
            <w:r>
              <w:rPr>
                <w:rFonts w:ascii="Aptos" w:hAnsi="Aptos"/>
                <w:b w:val="0"/>
                <w:sz w:val="16"/>
              </w:rPr>
              <w:t>Where is the single state-transition function?</w:t>
            </w:r>
          </w:p>
        </w:tc>
        <w:tc>
          <w:tcPr>
            <w:tcW w:type="dxa" w:w="6336"/>
            <w:vAlign w:val="center"/>
          </w:tcPr>
          <w:p>
            <w:pPr>
              <w:spacing w:after="0"/>
            </w:pPr>
            <w:r/>
            <w:r>
              <w:rPr>
                <w:rFonts w:ascii="Aptos" w:hAnsi="Aptos"/>
                <w:b w:val="0"/>
                <w:sz w:val="16"/>
              </w:rPr>
              <w:t>One shared domain implementation with no strategy-specific forks.</w:t>
            </w:r>
          </w:p>
        </w:tc>
      </w:tr>
      <w:tr>
        <w:tc>
          <w:tcPr>
            <w:tcW w:type="dxa" w:w="4896"/>
            <w:vAlign w:val="center"/>
          </w:tcPr>
          <w:p>
            <w:pPr>
              <w:spacing w:after="0"/>
            </w:pPr>
            <w:r/>
            <w:r>
              <w:rPr>
                <w:rFonts w:ascii="Aptos" w:hAnsi="Aptos"/>
                <w:b w:val="0"/>
                <w:sz w:val="16"/>
              </w:rPr>
              <w:t>How is prior status loaded?</w:t>
            </w:r>
          </w:p>
        </w:tc>
        <w:tc>
          <w:tcPr>
            <w:tcW w:type="dxa" w:w="6336"/>
            <w:vAlign w:val="center"/>
          </w:tcPr>
          <w:p>
            <w:pPr>
              <w:spacing w:after="0"/>
            </w:pPr>
            <w:r/>
            <w:r>
              <w:rPr>
                <w:rFonts w:ascii="Aptos" w:hAnsi="Aptos"/>
                <w:b w:val="0"/>
                <w:sz w:val="16"/>
              </w:rPr>
              <w:t>Versioned persisted status with effective time and source.</w:t>
            </w:r>
          </w:p>
        </w:tc>
      </w:tr>
      <w:tr>
        <w:tc>
          <w:tcPr>
            <w:tcW w:type="dxa" w:w="4896"/>
            <w:vAlign w:val="center"/>
          </w:tcPr>
          <w:p>
            <w:pPr>
              <w:spacing w:after="0"/>
            </w:pPr>
            <w:r/>
            <w:r>
              <w:rPr>
                <w:rFonts w:ascii="Aptos" w:hAnsi="Aptos"/>
                <w:b w:val="0"/>
                <w:sz w:val="16"/>
              </w:rPr>
              <w:t>How is cold start handled?</w:t>
            </w:r>
          </w:p>
        </w:tc>
        <w:tc>
          <w:tcPr>
            <w:tcW w:type="dxa" w:w="6336"/>
            <w:vAlign w:val="center"/>
          </w:tcPr>
          <w:p>
            <w:pPr>
              <w:spacing w:after="0"/>
            </w:pPr>
            <w:r/>
            <w:r>
              <w:rPr>
                <w:rFonts w:ascii="Aptos" w:hAnsi="Aptos"/>
                <w:b w:val="0"/>
                <w:sz w:val="16"/>
              </w:rPr>
              <w:t>Backward borrowing with deterministic chronological propagation.</w:t>
            </w:r>
          </w:p>
        </w:tc>
      </w:tr>
      <w:tr>
        <w:tc>
          <w:tcPr>
            <w:tcW w:type="dxa" w:w="4896"/>
            <w:vAlign w:val="center"/>
          </w:tcPr>
          <w:p>
            <w:pPr>
              <w:spacing w:after="0"/>
            </w:pPr>
            <w:r/>
            <w:r>
              <w:rPr>
                <w:rFonts w:ascii="Aptos" w:hAnsi="Aptos"/>
                <w:b w:val="0"/>
                <w:sz w:val="16"/>
              </w:rPr>
              <w:t>How is CMP selected?</w:t>
            </w:r>
          </w:p>
        </w:tc>
        <w:tc>
          <w:tcPr>
            <w:tcW w:type="dxa" w:w="6336"/>
            <w:vAlign w:val="center"/>
          </w:tcPr>
          <w:p>
            <w:pPr>
              <w:spacing w:after="0"/>
            </w:pPr>
            <w:r/>
            <w:r>
              <w:rPr>
                <w:rFonts w:ascii="Aptos" w:hAnsi="Aptos"/>
                <w:b w:val="0"/>
                <w:sz w:val="16"/>
              </w:rPr>
              <w:t>Explicit segment/product resolver and source trace.</w:t>
            </w:r>
          </w:p>
        </w:tc>
      </w:tr>
      <w:tr>
        <w:tc>
          <w:tcPr>
            <w:tcW w:type="dxa" w:w="4896"/>
            <w:vAlign w:val="center"/>
          </w:tcPr>
          <w:p>
            <w:pPr>
              <w:spacing w:after="0"/>
            </w:pPr>
            <w:r/>
            <w:r>
              <w:rPr>
                <w:rFonts w:ascii="Aptos" w:hAnsi="Aptos"/>
                <w:b w:val="0"/>
                <w:sz w:val="16"/>
              </w:rPr>
              <w:t>Are operators correct?</w:t>
            </w:r>
          </w:p>
        </w:tc>
        <w:tc>
          <w:tcPr>
            <w:tcW w:type="dxa" w:w="6336"/>
            <w:vAlign w:val="center"/>
          </w:tcPr>
          <w:p>
            <w:pPr>
              <w:spacing w:after="0"/>
            </w:pPr>
            <w:r/>
            <w:r>
              <w:rPr>
                <w:rFonts w:ascii="Aptos" w:hAnsi="Aptos"/>
                <w:b w:val="0"/>
                <w:sz w:val="16"/>
              </w:rPr>
              <w:t>&gt;= for bullish, &lt;= for bearish, with equality tests.</w:t>
            </w:r>
          </w:p>
        </w:tc>
      </w:tr>
      <w:tr>
        <w:tc>
          <w:tcPr>
            <w:tcW w:type="dxa" w:w="4896"/>
            <w:vAlign w:val="center"/>
          </w:tcPr>
          <w:p>
            <w:pPr>
              <w:spacing w:after="0"/>
            </w:pPr>
            <w:r/>
            <w:r>
              <w:rPr>
                <w:rFonts w:ascii="Aptos" w:hAnsi="Aptos"/>
                <w:b w:val="0"/>
                <w:sz w:val="16"/>
              </w:rPr>
              <w:t>Are weekly/monthly resets correct?</w:t>
            </w:r>
          </w:p>
        </w:tc>
        <w:tc>
          <w:tcPr>
            <w:tcW w:type="dxa" w:w="6336"/>
            <w:vAlign w:val="center"/>
          </w:tcPr>
          <w:p>
            <w:pPr>
              <w:spacing w:after="0"/>
            </w:pPr>
            <w:r/>
            <w:r>
              <w:rPr>
                <w:rFonts w:ascii="Aptos" w:hAnsi="Aptos"/>
                <w:b w:val="0"/>
                <w:sz w:val="16"/>
              </w:rPr>
              <w:t>Calendar-aware reset of CWH/CWL and CMH/CML only; status persists.</w:t>
            </w:r>
          </w:p>
        </w:tc>
      </w:tr>
      <w:tr>
        <w:tc>
          <w:tcPr>
            <w:tcW w:type="dxa" w:w="4896"/>
            <w:vAlign w:val="center"/>
          </w:tcPr>
          <w:p>
            <w:pPr>
              <w:spacing w:after="0"/>
            </w:pPr>
            <w:r/>
            <w:r>
              <w:rPr>
                <w:rFonts w:ascii="Aptos" w:hAnsi="Aptos"/>
                <w:b w:val="0"/>
                <w:sz w:val="16"/>
              </w:rPr>
              <w:t>Can both-side breaches be ordered?</w:t>
            </w:r>
          </w:p>
        </w:tc>
        <w:tc>
          <w:tcPr>
            <w:tcW w:type="dxa" w:w="6336"/>
            <w:vAlign w:val="center"/>
          </w:tcPr>
          <w:p>
            <w:pPr>
              <w:spacing w:after="0"/>
            </w:pPr>
            <w:r/>
            <w:r>
              <w:rPr>
                <w:rFonts w:ascii="Aptos" w:hAnsi="Aptos"/>
                <w:b w:val="0"/>
                <w:sz w:val="16"/>
              </w:rPr>
              <w:t>Ordered evidence is required where OHLC is ambiguous.</w:t>
            </w:r>
          </w:p>
        </w:tc>
      </w:tr>
      <w:tr>
        <w:tc>
          <w:tcPr>
            <w:tcW w:type="dxa" w:w="4896"/>
            <w:vAlign w:val="center"/>
          </w:tcPr>
          <w:p>
            <w:pPr>
              <w:spacing w:after="0"/>
            </w:pPr>
            <w:r/>
            <w:r>
              <w:rPr>
                <w:rFonts w:ascii="Aptos" w:hAnsi="Aptos"/>
                <w:b w:val="0"/>
                <w:sz w:val="16"/>
              </w:rPr>
              <w:t>Can UNKNOWN trade?</w:t>
            </w:r>
          </w:p>
        </w:tc>
        <w:tc>
          <w:tcPr>
            <w:tcW w:type="dxa" w:w="6336"/>
            <w:vAlign w:val="center"/>
          </w:tcPr>
          <w:p>
            <w:pPr>
              <w:spacing w:after="0"/>
            </w:pPr>
            <w:r/>
            <w:r>
              <w:rPr>
                <w:rFonts w:ascii="Aptos" w:hAnsi="Aptos"/>
                <w:b w:val="0"/>
                <w:sz w:val="16"/>
              </w:rPr>
              <w:t>No; fail closed.</w:t>
            </w:r>
          </w:p>
        </w:tc>
      </w:tr>
      <w:tr>
        <w:tc>
          <w:tcPr>
            <w:tcW w:type="dxa" w:w="4896"/>
            <w:vAlign w:val="center"/>
          </w:tcPr>
          <w:p>
            <w:pPr>
              <w:spacing w:after="0"/>
            </w:pPr>
            <w:r/>
            <w:r>
              <w:rPr>
                <w:rFonts w:ascii="Aptos" w:hAnsi="Aptos"/>
                <w:b w:val="0"/>
                <w:sz w:val="16"/>
              </w:rPr>
              <w:t>Are all runtime modes aligned?</w:t>
            </w:r>
          </w:p>
        </w:tc>
        <w:tc>
          <w:tcPr>
            <w:tcW w:type="dxa" w:w="6336"/>
            <w:vAlign w:val="center"/>
          </w:tcPr>
          <w:p>
            <w:pPr>
              <w:spacing w:after="0"/>
            </w:pPr>
            <w:r/>
            <w:r>
              <w:rPr>
                <w:rFonts w:ascii="Aptos" w:hAnsi="Aptos"/>
                <w:b w:val="0"/>
                <w:sz w:val="16"/>
              </w:rPr>
              <w:t>Shared service and parity fixtures.</w:t>
            </w:r>
          </w:p>
        </w:tc>
      </w:tr>
      <w:tr>
        <w:tc>
          <w:tcPr>
            <w:tcW w:type="dxa" w:w="4896"/>
            <w:vAlign w:val="center"/>
          </w:tcPr>
          <w:p>
            <w:pPr>
              <w:spacing w:after="0"/>
            </w:pPr>
            <w:r/>
            <w:r>
              <w:rPr>
                <w:rFonts w:ascii="Aptos" w:hAnsi="Aptos"/>
                <w:b w:val="0"/>
                <w:sz w:val="16"/>
              </w:rPr>
              <w:t>Is rollover isolated?</w:t>
            </w:r>
          </w:p>
        </w:tc>
        <w:tc>
          <w:tcPr>
            <w:tcW w:type="dxa" w:w="6336"/>
            <w:vAlign w:val="center"/>
          </w:tcPr>
          <w:p>
            <w:pPr>
              <w:spacing w:after="0"/>
            </w:pPr>
            <w:r/>
            <w:r>
              <w:rPr>
                <w:rFonts w:ascii="Aptos" w:hAnsi="Aptos"/>
                <w:b w:val="0"/>
                <w:sz w:val="16"/>
              </w:rPr>
              <w:t>Contract change does not itself change status.</w:t>
            </w:r>
          </w:p>
        </w:tc>
      </w:tr>
    </w:tbl>
    <w:p/>
    <w:p>
      <w:pPr>
        <w:pStyle w:val="Heading1"/>
      </w:pPr>
      <w:r>
        <w:t>14. Common Misinterpretations to Avoid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616"/>
            <w:vAlign w:val="center"/>
            <w:shd w:fill="D9EAF7"/>
          </w:tcPr>
          <w:p>
            <w:pPr>
              <w:spacing w:after="0"/>
            </w:pPr>
            <w:r/>
            <w:r>
              <w:rPr>
                <w:rFonts w:ascii="Aptos" w:hAnsi="Aptos"/>
                <w:b/>
                <w:sz w:val="16"/>
              </w:rPr>
              <w:t>Incorrect implementation</w:t>
            </w:r>
          </w:p>
        </w:tc>
        <w:tc>
          <w:tcPr>
            <w:tcW w:type="dxa" w:w="5616"/>
            <w:vAlign w:val="center"/>
            <w:shd w:fill="D9EAF7"/>
          </w:tcPr>
          <w:p>
            <w:pPr>
              <w:spacing w:after="0"/>
            </w:pPr>
            <w:r/>
            <w:r>
              <w:rPr>
                <w:rFonts w:ascii="Aptos" w:hAnsi="Aptos"/>
                <w:b/>
                <w:sz w:val="16"/>
              </w:rPr>
              <w:t>Correct rule</w:t>
            </w:r>
          </w:p>
        </w:tc>
      </w:tr>
      <w:tr>
        <w:tc>
          <w:tcPr>
            <w:tcW w:type="dxa" w:w="5616"/>
            <w:vAlign w:val="center"/>
          </w:tcPr>
          <w:p>
            <w:pPr>
              <w:spacing w:after="0"/>
            </w:pPr>
            <w:r/>
            <w:r>
              <w:rPr>
                <w:rFonts w:ascii="Aptos" w:hAnsi="Aptos"/>
                <w:b w:val="0"/>
                <w:sz w:val="16"/>
              </w:rPr>
              <w:t>Recalculate Monthly Status independently from monthly OHLC every day.</w:t>
            </w:r>
          </w:p>
        </w:tc>
        <w:tc>
          <w:tcPr>
            <w:tcW w:type="dxa" w:w="5616"/>
            <w:vAlign w:val="center"/>
          </w:tcPr>
          <w:p>
            <w:pPr>
              <w:spacing w:after="0"/>
            </w:pPr>
            <w:r/>
            <w:r>
              <w:rPr>
                <w:rFonts w:ascii="Aptos" w:hAnsi="Aptos"/>
                <w:b w:val="0"/>
                <w:sz w:val="16"/>
              </w:rPr>
              <w:t>Start from the persisted previous status and evaluate permitted transitions at fresh-order time.</w:t>
            </w:r>
          </w:p>
        </w:tc>
      </w:tr>
      <w:tr>
        <w:tc>
          <w:tcPr>
            <w:tcW w:type="dxa" w:w="5616"/>
            <w:vAlign w:val="center"/>
          </w:tcPr>
          <w:p>
            <w:pPr>
              <w:spacing w:after="0"/>
            </w:pPr>
            <w:r/>
            <w:r>
              <w:rPr>
                <w:rFonts w:ascii="Aptos" w:hAnsi="Aptos"/>
                <w:b w:val="0"/>
                <w:sz w:val="16"/>
              </w:rPr>
              <w:t>Continuously monitor every tick and persist every crossing.</w:t>
            </w:r>
          </w:p>
        </w:tc>
        <w:tc>
          <w:tcPr>
            <w:tcW w:type="dxa" w:w="5616"/>
            <w:vAlign w:val="center"/>
          </w:tcPr>
          <w:p>
            <w:pPr>
              <w:spacing w:after="0"/>
            </w:pPr>
            <w:r/>
            <w:r>
              <w:rPr>
                <w:rFonts w:ascii="Aptos" w:hAnsi="Aptos"/>
                <w:b w:val="0"/>
                <w:sz w:val="16"/>
              </w:rPr>
              <w:t>Routine Monthly Status is evaluation-driven; persist transitions at TFIS evaluation points.</w:t>
            </w:r>
          </w:p>
        </w:tc>
      </w:tr>
      <w:tr>
        <w:tc>
          <w:tcPr>
            <w:tcW w:type="dxa" w:w="5616"/>
            <w:vAlign w:val="center"/>
          </w:tcPr>
          <w:p>
            <w:pPr>
              <w:spacing w:after="0"/>
            </w:pPr>
            <w:r/>
            <w:r>
              <w:rPr>
                <w:rFonts w:ascii="Aptos" w:hAnsi="Aptos"/>
                <w:b w:val="0"/>
                <w:sz w:val="16"/>
              </w:rPr>
              <w:t>Use one Bull/Bear flag and discard CF.</w:t>
            </w:r>
          </w:p>
        </w:tc>
        <w:tc>
          <w:tcPr>
            <w:tcW w:type="dxa" w:w="5616"/>
            <w:vAlign w:val="center"/>
          </w:tcPr>
          <w:p>
            <w:pPr>
              <w:spacing w:after="0"/>
            </w:pPr>
            <w:r/>
            <w:r>
              <w:rPr>
                <w:rFonts w:ascii="Aptos" w:hAnsi="Aptos"/>
                <w:b w:val="0"/>
                <w:sz w:val="16"/>
              </w:rPr>
              <w:t>Bull, Bull CF, Bear and Bear CF are distinct states.</w:t>
            </w:r>
          </w:p>
        </w:tc>
      </w:tr>
      <w:tr>
        <w:tc>
          <w:tcPr>
            <w:tcW w:type="dxa" w:w="5616"/>
            <w:vAlign w:val="center"/>
          </w:tcPr>
          <w:p>
            <w:pPr>
              <w:spacing w:after="0"/>
            </w:pPr>
            <w:r/>
            <w:r>
              <w:rPr>
                <w:rFonts w:ascii="Aptos" w:hAnsi="Aptos"/>
                <w:b w:val="0"/>
                <w:sz w:val="16"/>
              </w:rPr>
              <w:t>Apply weekly reversal to Bull CF/Bear CF.</w:t>
            </w:r>
          </w:p>
        </w:tc>
        <w:tc>
          <w:tcPr>
            <w:tcW w:type="dxa" w:w="5616"/>
            <w:vAlign w:val="center"/>
          </w:tcPr>
          <w:p>
            <w:pPr>
              <w:spacing w:after="0"/>
            </w:pPr>
            <w:r/>
            <w:r>
              <w:rPr>
                <w:rFonts w:ascii="Aptos" w:hAnsi="Aptos"/>
                <w:b w:val="0"/>
                <w:sz w:val="16"/>
              </w:rPr>
              <w:t>Confirmed states reverse using previous-month thresholds.</w:t>
            </w:r>
          </w:p>
        </w:tc>
      </w:tr>
      <w:tr>
        <w:tc>
          <w:tcPr>
            <w:tcW w:type="dxa" w:w="5616"/>
            <w:vAlign w:val="center"/>
          </w:tcPr>
          <w:p>
            <w:pPr>
              <w:spacing w:after="0"/>
            </w:pPr>
            <w:r/>
            <w:r>
              <w:rPr>
                <w:rFonts w:ascii="Aptos" w:hAnsi="Aptos"/>
                <w:b w:val="0"/>
                <w:sz w:val="16"/>
              </w:rPr>
              <w:t>Apply previous-month reversal to unconfirmed Bull/Bear.</w:t>
            </w:r>
          </w:p>
        </w:tc>
        <w:tc>
          <w:tcPr>
            <w:tcW w:type="dxa" w:w="5616"/>
            <w:vAlign w:val="center"/>
          </w:tcPr>
          <w:p>
            <w:pPr>
              <w:spacing w:after="0"/>
            </w:pPr>
            <w:r/>
            <w:r>
              <w:rPr>
                <w:rFonts w:ascii="Aptos" w:hAnsi="Aptos"/>
                <w:b w:val="0"/>
                <w:sz w:val="16"/>
              </w:rPr>
              <w:t>Unconfirmed states reverse using weekly max/min plus c%.</w:t>
            </w:r>
          </w:p>
        </w:tc>
      </w:tr>
      <w:tr>
        <w:tc>
          <w:tcPr>
            <w:tcW w:type="dxa" w:w="5616"/>
            <w:vAlign w:val="center"/>
          </w:tcPr>
          <w:p>
            <w:pPr>
              <w:spacing w:after="0"/>
            </w:pPr>
            <w:r/>
            <w:r>
              <w:rPr>
                <w:rFonts w:ascii="Aptos" w:hAnsi="Aptos"/>
                <w:b w:val="0"/>
                <w:sz w:val="16"/>
              </w:rPr>
              <w:t>Resolve both-side monthly breaches by checking one condition first.</w:t>
            </w:r>
          </w:p>
        </w:tc>
        <w:tc>
          <w:tcPr>
            <w:tcW w:type="dxa" w:w="5616"/>
            <w:vAlign w:val="center"/>
          </w:tcPr>
          <w:p>
            <w:pPr>
              <w:spacing w:after="0"/>
            </w:pPr>
            <w:r/>
            <w:r>
              <w:rPr>
                <w:rFonts w:ascii="Aptos" w:hAnsi="Aptos"/>
                <w:b w:val="0"/>
                <w:sz w:val="16"/>
              </w:rPr>
              <w:t>Use chronological order; latest valid signal wins.</w:t>
            </w:r>
          </w:p>
        </w:tc>
      </w:tr>
      <w:tr>
        <w:tc>
          <w:tcPr>
            <w:tcW w:type="dxa" w:w="5616"/>
            <w:vAlign w:val="center"/>
          </w:tcPr>
          <w:p>
            <w:pPr>
              <w:spacing w:after="0"/>
            </w:pPr>
            <w:r/>
            <w:r>
              <w:rPr>
                <w:rFonts w:ascii="Aptos" w:hAnsi="Aptos"/>
                <w:b w:val="0"/>
                <w:sz w:val="16"/>
              </w:rPr>
              <w:t>Use futures price for all strategies.</w:t>
            </w:r>
          </w:p>
        </w:tc>
        <w:tc>
          <w:tcPr>
            <w:tcW w:type="dxa" w:w="5616"/>
            <w:vAlign w:val="center"/>
          </w:tcPr>
          <w:p>
            <w:pPr>
              <w:spacing w:after="0"/>
            </w:pPr>
            <w:r/>
            <w:r>
              <w:rPr>
                <w:rFonts w:ascii="Aptos" w:hAnsi="Aptos"/>
                <w:b w:val="0"/>
                <w:sz w:val="16"/>
              </w:rPr>
              <w:t>Use segment-specific authoritative CMP source.</w:t>
            </w:r>
          </w:p>
        </w:tc>
      </w:tr>
      <w:tr>
        <w:tc>
          <w:tcPr>
            <w:tcW w:type="dxa" w:w="5616"/>
            <w:vAlign w:val="center"/>
          </w:tcPr>
          <w:p>
            <w:pPr>
              <w:spacing w:after="0"/>
            </w:pPr>
            <w:r/>
            <w:r>
              <w:rPr>
                <w:rFonts w:ascii="Aptos" w:hAnsi="Aptos"/>
                <w:b w:val="0"/>
                <w:sz w:val="16"/>
              </w:rPr>
              <w:t>Reset Monthly Status on Monday or month start.</w:t>
            </w:r>
          </w:p>
        </w:tc>
        <w:tc>
          <w:tcPr>
            <w:tcW w:type="dxa" w:w="5616"/>
            <w:vAlign w:val="center"/>
          </w:tcPr>
          <w:p>
            <w:pPr>
              <w:spacing w:after="0"/>
            </w:pPr>
            <w:r/>
            <w:r>
              <w:rPr>
                <w:rFonts w:ascii="Aptos" w:hAnsi="Aptos"/>
                <w:b w:val="0"/>
                <w:sz w:val="16"/>
              </w:rPr>
              <w:t>Reset current-week/month extremes only; state persists.</w:t>
            </w:r>
          </w:p>
        </w:tc>
      </w:tr>
      <w:tr>
        <w:tc>
          <w:tcPr>
            <w:tcW w:type="dxa" w:w="5616"/>
            <w:vAlign w:val="center"/>
          </w:tcPr>
          <w:p>
            <w:pPr>
              <w:spacing w:after="0"/>
            </w:pPr>
            <w:r/>
            <w:r>
              <w:rPr>
                <w:rFonts w:ascii="Aptos" w:hAnsi="Aptos"/>
                <w:b w:val="0"/>
                <w:sz w:val="16"/>
              </w:rPr>
              <w:t>Treat UNKNOWN as neutral and continue.</w:t>
            </w:r>
          </w:p>
        </w:tc>
        <w:tc>
          <w:tcPr>
            <w:tcW w:type="dxa" w:w="5616"/>
            <w:vAlign w:val="center"/>
          </w:tcPr>
          <w:p>
            <w:pPr>
              <w:spacing w:after="0"/>
            </w:pPr>
            <w:r/>
            <w:r>
              <w:rPr>
                <w:rFonts w:ascii="Aptos" w:hAnsi="Aptos"/>
                <w:b w:val="0"/>
                <w:sz w:val="16"/>
              </w:rPr>
              <w:t>UNKNOWN/UNAVAILABLE suppresses fresh orders.</w:t>
            </w:r>
          </w:p>
        </w:tc>
      </w:tr>
      <w:tr>
        <w:tc>
          <w:tcPr>
            <w:tcW w:type="dxa" w:w="5616"/>
            <w:vAlign w:val="center"/>
          </w:tcPr>
          <w:p>
            <w:pPr>
              <w:spacing w:after="0"/>
            </w:pPr>
            <w:r/>
            <w:r>
              <w:rPr>
                <w:rFonts w:ascii="Aptos" w:hAnsi="Aptos"/>
                <w:b w:val="0"/>
                <w:sz w:val="16"/>
              </w:rPr>
              <w:t>Let each strategy calculate its own Monthly Status.</w:t>
            </w:r>
          </w:p>
        </w:tc>
        <w:tc>
          <w:tcPr>
            <w:tcW w:type="dxa" w:w="5616"/>
            <w:vAlign w:val="center"/>
          </w:tcPr>
          <w:p>
            <w:pPr>
              <w:spacing w:after="0"/>
            </w:pPr>
            <w:r/>
            <w:r>
              <w:rPr>
                <w:rFonts w:ascii="Aptos" w:hAnsi="Aptos"/>
                <w:b w:val="0"/>
                <w:sz w:val="16"/>
              </w:rPr>
              <w:t>Calculate once upstream and share.</w:t>
            </w:r>
          </w:p>
        </w:tc>
      </w:tr>
    </w:tbl>
    <w:p/>
    <w:p>
      <w:pPr>
        <w:pStyle w:val="Heading1"/>
      </w:pPr>
      <w:r>
        <w:t>15. Codex Implementation Instruction</w:t>
      </w:r>
    </w:p>
    <w:p>
      <w:r>
        <w:t>When this document is supplied to Codex, use the following instruction together with the repository path:</w:t>
      </w:r>
    </w:p>
    <w:p>
      <w:r>
        <w:rPr>
          <w:rFonts w:ascii="Liberation Mono" w:hAnsi="Liberation Mono"/>
          <w:sz w:val="17"/>
        </w:rPr>
        <w:t>Treat “TFIS Monthly Status Reference and Implementation Specification v1.0” as the authoritative Monthly Status business specification.</w:t>
        <w:br/>
      </w:r>
      <w:r>
        <w:rPr>
          <w:rFonts w:ascii="Liberation Mono" w:hAnsi="Liberation Mono"/>
          <w:sz w:val="17"/>
        </w:rPr>
        <w:br/>
      </w:r>
      <w:r>
        <w:rPr>
          <w:rFonts w:ascii="Liberation Mono" w:hAnsi="Liberation Mono"/>
          <w:sz w:val="17"/>
        </w:rPr>
        <w:t>Before modifying code:</w:t>
        <w:br/>
      </w:r>
      <w:r>
        <w:rPr>
          <w:rFonts w:ascii="Liberation Mono" w:hAnsi="Liberation Mono"/>
          <w:sz w:val="17"/>
        </w:rPr>
        <w:t>1. Read the complete document.</w:t>
        <w:br/>
      </w:r>
      <w:r>
        <w:rPr>
          <w:rFonts w:ascii="Liberation Mono" w:hAnsi="Liberation Mono"/>
          <w:sz w:val="17"/>
        </w:rPr>
        <w:t>2. Map every MON requirement to current code and tests.</w:t>
        <w:br/>
      </w:r>
      <w:r>
        <w:rPr>
          <w:rFonts w:ascii="Liberation Mono" w:hAnsi="Liberation Mono"/>
          <w:sz w:val="17"/>
        </w:rPr>
        <w:t>3. Report gaps with file/class/function/line evidence.</w:t>
        <w:br/>
      </w:r>
      <w:r>
        <w:rPr>
          <w:rFonts w:ascii="Liberation Mono" w:hAnsi="Liberation Mono"/>
          <w:sz w:val="17"/>
        </w:rPr>
        <w:t>4. Do not infer or simplify rules.</w:t>
        <w:br/>
      </w:r>
      <w:r>
        <w:rPr>
          <w:rFonts w:ascii="Liberation Mono" w:hAnsi="Liberation Mono"/>
          <w:sz w:val="17"/>
        </w:rPr>
        <w:t>5. Keep bootstrap and routine evaluation separate.</w:t>
        <w:br/>
      </w:r>
      <w:r>
        <w:rPr>
          <w:rFonts w:ascii="Liberation Mono" w:hAnsi="Liberation Mono"/>
          <w:sz w:val="17"/>
        </w:rPr>
        <w:t>6. Use the existing persisted status at each fresh-order evaluation.</w:t>
        <w:br/>
      </w:r>
      <w:r>
        <w:rPr>
          <w:rFonts w:ascii="Liberation Mono" w:hAnsi="Liberation Mono"/>
          <w:sz w:val="17"/>
        </w:rPr>
        <w:t>7. Use the segment-specific CMP source.</w:t>
        <w:br/>
      </w:r>
      <w:r>
        <w:rPr>
          <w:rFonts w:ascii="Liberation Mono" w:hAnsi="Liberation Mono"/>
          <w:sz w:val="17"/>
        </w:rPr>
        <w:t>8. Fail closed for UNKNOWN/UNAVAILABLE.</w:t>
        <w:br/>
      </w:r>
      <w:r>
        <w:rPr>
          <w:rFonts w:ascii="Liberation Mono" w:hAnsi="Liberation Mono"/>
          <w:sz w:val="17"/>
        </w:rPr>
        <w:t>9. Use one shared service across paper, live-decision, backtest and replay.</w:t>
        <w:br/>
      </w:r>
      <w:r>
        <w:rPr>
          <w:rFonts w:ascii="Liberation Mono" w:hAnsi="Liberation Mono"/>
          <w:sz w:val="17"/>
        </w:rPr>
        <w:t>10. Add deterministic tests for MON-T01 through MON-T20.</w:t>
        <w:br/>
      </w:r>
      <w:r>
        <w:rPr>
          <w:rFonts w:ascii="Liberation Mono" w:hAnsi="Liberation Mono"/>
          <w:sz w:val="17"/>
        </w:rPr>
        <w:br/>
      </w:r>
      <w:r>
        <w:rPr>
          <w:rFonts w:ascii="Liberation Mono" w:hAnsi="Liberation Mono"/>
          <w:sz w:val="17"/>
        </w:rPr>
        <w:t>Where current code disagrees with this document, report the conflict before changing trading behaviour.</w:t>
        <w:br/>
      </w:r>
    </w:p>
    <w:p>
      <w:pPr>
        <w:pStyle w:val="Heading1"/>
      </w:pPr>
      <w:r>
        <w:t>16. Acceptance Gate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vAlign w:val="center"/>
            <w:shd w:fill="D9EAF7"/>
          </w:tcPr>
          <w:p>
            <w:pPr>
              <w:spacing w:after="0"/>
            </w:pPr>
            <w:r/>
            <w:r>
              <w:rPr>
                <w:rFonts w:ascii="Aptos" w:hAnsi="Aptos"/>
                <w:b/>
                <w:sz w:val="16"/>
              </w:rPr>
              <w:t>Gate</w:t>
            </w:r>
          </w:p>
        </w:tc>
        <w:tc>
          <w:tcPr>
            <w:tcW w:type="dxa" w:w="8352"/>
            <w:vAlign w:val="center"/>
            <w:shd w:fill="D9EAF7"/>
          </w:tcPr>
          <w:p>
            <w:pPr>
              <w:spacing w:after="0"/>
            </w:pPr>
            <w:r/>
            <w:r>
              <w:rPr>
                <w:rFonts w:ascii="Aptos" w:hAnsi="Aptos"/>
                <w:b/>
                <w:sz w:val="16"/>
              </w:rPr>
              <w:t>Required evidence</w:t>
            </w:r>
          </w:p>
        </w:tc>
      </w:tr>
      <w:tr>
        <w:tc>
          <w:tcPr>
            <w:tcW w:type="dxa" w:w="2880"/>
            <w:vAlign w:val="center"/>
          </w:tcPr>
          <w:p>
            <w:pPr>
              <w:spacing w:after="0"/>
            </w:pPr>
            <w:r/>
            <w:r>
              <w:rPr>
                <w:rFonts w:ascii="Aptos" w:hAnsi="Aptos"/>
                <w:b w:val="0"/>
                <w:sz w:val="16"/>
              </w:rPr>
              <w:t>Business parity</w:t>
            </w:r>
          </w:p>
        </w:tc>
        <w:tc>
          <w:tcPr>
            <w:tcW w:type="dxa" w:w="8352"/>
            <w:vAlign w:val="center"/>
          </w:tcPr>
          <w:p>
            <w:pPr>
              <w:spacing w:after="0"/>
            </w:pPr>
            <w:r/>
            <w:r>
              <w:rPr>
                <w:rFonts w:ascii="Aptos" w:hAnsi="Aptos"/>
                <w:b w:val="0"/>
                <w:sz w:val="16"/>
              </w:rPr>
              <w:t>All MON-001..MON-024 mapped to implementation or explicitly marked missing.</w:t>
            </w:r>
          </w:p>
        </w:tc>
      </w:tr>
      <w:tr>
        <w:tc>
          <w:tcPr>
            <w:tcW w:type="dxa" w:w="2880"/>
            <w:vAlign w:val="center"/>
          </w:tcPr>
          <w:p>
            <w:pPr>
              <w:spacing w:after="0"/>
            </w:pPr>
            <w:r/>
            <w:r>
              <w:rPr>
                <w:rFonts w:ascii="Aptos" w:hAnsi="Aptos"/>
                <w:b w:val="0"/>
                <w:sz w:val="16"/>
              </w:rPr>
              <w:t>Test parity</w:t>
            </w:r>
          </w:p>
        </w:tc>
        <w:tc>
          <w:tcPr>
            <w:tcW w:type="dxa" w:w="8352"/>
            <w:vAlign w:val="center"/>
          </w:tcPr>
          <w:p>
            <w:pPr>
              <w:spacing w:after="0"/>
            </w:pPr>
            <w:r/>
            <w:r>
              <w:rPr>
                <w:rFonts w:ascii="Aptos" w:hAnsi="Aptos"/>
                <w:b w:val="0"/>
                <w:sz w:val="16"/>
              </w:rPr>
              <w:t>MON-T01..MON-T20 pass deterministically.</w:t>
            </w:r>
          </w:p>
        </w:tc>
      </w:tr>
      <w:tr>
        <w:tc>
          <w:tcPr>
            <w:tcW w:type="dxa" w:w="2880"/>
            <w:vAlign w:val="center"/>
          </w:tcPr>
          <w:p>
            <w:pPr>
              <w:spacing w:after="0"/>
            </w:pPr>
            <w:r/>
            <w:r>
              <w:rPr>
                <w:rFonts w:ascii="Aptos" w:hAnsi="Aptos"/>
                <w:b w:val="0"/>
                <w:sz w:val="16"/>
              </w:rPr>
              <w:t>Mode parity</w:t>
            </w:r>
          </w:p>
        </w:tc>
        <w:tc>
          <w:tcPr>
            <w:tcW w:type="dxa" w:w="8352"/>
            <w:vAlign w:val="center"/>
          </w:tcPr>
          <w:p>
            <w:pPr>
              <w:spacing w:after="0"/>
            </w:pPr>
            <w:r/>
            <w:r>
              <w:rPr>
                <w:rFonts w:ascii="Aptos" w:hAnsi="Aptos"/>
                <w:b w:val="0"/>
                <w:sz w:val="16"/>
              </w:rPr>
              <w:t>Same input produces same result in paper/live-decision/backtest/replay.</w:t>
            </w:r>
          </w:p>
        </w:tc>
      </w:tr>
      <w:tr>
        <w:tc>
          <w:tcPr>
            <w:tcW w:type="dxa" w:w="2880"/>
            <w:vAlign w:val="center"/>
          </w:tcPr>
          <w:p>
            <w:pPr>
              <w:spacing w:after="0"/>
            </w:pPr>
            <w:r/>
            <w:r>
              <w:rPr>
                <w:rFonts w:ascii="Aptos" w:hAnsi="Aptos"/>
                <w:b w:val="0"/>
                <w:sz w:val="16"/>
              </w:rPr>
              <w:t>Persistence</w:t>
            </w:r>
          </w:p>
        </w:tc>
        <w:tc>
          <w:tcPr>
            <w:tcW w:type="dxa" w:w="8352"/>
            <w:vAlign w:val="center"/>
          </w:tcPr>
          <w:p>
            <w:pPr>
              <w:spacing w:after="0"/>
            </w:pPr>
            <w:r/>
            <w:r>
              <w:rPr>
                <w:rFonts w:ascii="Aptos" w:hAnsi="Aptos"/>
                <w:b w:val="0"/>
                <w:sz w:val="16"/>
              </w:rPr>
              <w:t>Restart restores the same prior status and evidence.</w:t>
            </w:r>
          </w:p>
        </w:tc>
      </w:tr>
      <w:tr>
        <w:tc>
          <w:tcPr>
            <w:tcW w:type="dxa" w:w="2880"/>
            <w:vAlign w:val="center"/>
          </w:tcPr>
          <w:p>
            <w:pPr>
              <w:spacing w:after="0"/>
            </w:pPr>
            <w:r/>
            <w:r>
              <w:rPr>
                <w:rFonts w:ascii="Aptos" w:hAnsi="Aptos"/>
                <w:b w:val="0"/>
                <w:sz w:val="16"/>
              </w:rPr>
              <w:t>Auditability</w:t>
            </w:r>
          </w:p>
        </w:tc>
        <w:tc>
          <w:tcPr>
            <w:tcW w:type="dxa" w:w="8352"/>
            <w:vAlign w:val="center"/>
          </w:tcPr>
          <w:p>
            <w:pPr>
              <w:spacing w:after="0"/>
            </w:pPr>
            <w:r/>
            <w:r>
              <w:rPr>
                <w:rFonts w:ascii="Aptos" w:hAnsi="Aptos"/>
                <w:b w:val="0"/>
                <w:sz w:val="16"/>
              </w:rPr>
              <w:t>Every transition/retention has reason, thresholds and inputs.</w:t>
            </w:r>
          </w:p>
        </w:tc>
      </w:tr>
      <w:tr>
        <w:tc>
          <w:tcPr>
            <w:tcW w:type="dxa" w:w="2880"/>
            <w:vAlign w:val="center"/>
          </w:tcPr>
          <w:p>
            <w:pPr>
              <w:spacing w:after="0"/>
            </w:pPr>
            <w:r/>
            <w:r>
              <w:rPr>
                <w:rFonts w:ascii="Aptos" w:hAnsi="Aptos"/>
                <w:b w:val="0"/>
                <w:sz w:val="16"/>
              </w:rPr>
              <w:t>Strategy integration</w:t>
            </w:r>
          </w:p>
        </w:tc>
        <w:tc>
          <w:tcPr>
            <w:tcW w:type="dxa" w:w="8352"/>
            <w:vAlign w:val="center"/>
          </w:tcPr>
          <w:p>
            <w:pPr>
              <w:spacing w:after="0"/>
            </w:pPr>
            <w:r/>
            <w:r>
              <w:rPr>
                <w:rFonts w:ascii="Aptos" w:hAnsi="Aptos"/>
                <w:b w:val="0"/>
                <w:sz w:val="16"/>
              </w:rPr>
              <w:t>Every strategy selects branch from the shared resolved status.</w:t>
            </w:r>
          </w:p>
        </w:tc>
      </w:tr>
      <w:tr>
        <w:tc>
          <w:tcPr>
            <w:tcW w:type="dxa" w:w="2880"/>
            <w:vAlign w:val="center"/>
          </w:tcPr>
          <w:p>
            <w:pPr>
              <w:spacing w:after="0"/>
            </w:pPr>
            <w:r/>
            <w:r>
              <w:rPr>
                <w:rFonts w:ascii="Aptos" w:hAnsi="Aptos"/>
                <w:b w:val="0"/>
                <w:sz w:val="16"/>
              </w:rPr>
              <w:t>Safety</w:t>
            </w:r>
          </w:p>
        </w:tc>
        <w:tc>
          <w:tcPr>
            <w:tcW w:type="dxa" w:w="8352"/>
            <w:vAlign w:val="center"/>
          </w:tcPr>
          <w:p>
            <w:pPr>
              <w:spacing w:after="0"/>
            </w:pPr>
            <w:r/>
            <w:r>
              <w:rPr>
                <w:rFonts w:ascii="Aptos" w:hAnsi="Aptos"/>
                <w:b w:val="0"/>
                <w:sz w:val="16"/>
              </w:rPr>
              <w:t>UNKNOWN/UNAVAILABLE prevents fresh orders.</w:t>
            </w:r>
          </w:p>
        </w:tc>
      </w:tr>
    </w:tbl>
    <w:p/>
    <w:tbl>
      <w:tblPr>
        <w:tblStyle w:val="TableGrid"/>
        <w:tblW w:type="auto" w:w="0"/>
        <w:tblLook w:firstColumn="1" w:firstRow="1" w:lastColumn="0" w:lastRow="0" w:noHBand="0" w:noVBand="1" w:val="04A0"/>
      </w:tblPr>
      <w:tblGrid>
        <w:gridCol w:w="10080"/>
      </w:tblGrid>
      <w:tr>
        <w:tc>
          <w:tcPr>
            <w:tcW w:type="dxa" w:w="10080"/>
            <w:shd w:fill="E2F0D9"/>
          </w:tcPr>
          <w:p>
            <w:pPr>
              <w:spacing w:after="0"/>
            </w:pPr>
            <w:r/>
            <w:r>
              <w:rPr>
                <w:rFonts w:ascii="Aptos" w:hAnsi="Aptos"/>
                <w:b/>
                <w:color w:val="1F4E79"/>
                <w:sz w:val="20"/>
              </w:rPr>
              <w:t>Approval status</w:t>
              <w:br/>
            </w:r>
            <w:r>
              <w:rPr>
                <w:rFonts w:ascii="Aptos" w:hAnsi="Aptos"/>
                <w:sz w:val="19"/>
              </w:rPr>
              <w:t>This v1.0 document is ready to serve as the Monthly Status reference for architecture design, Codex implementation, codebase audit and regression-test creation. Changes to the business rules require an explicit version update and strategy-owner approval.</w:t>
            </w:r>
          </w:p>
        </w:tc>
      </w:tr>
    </w:tbl>
    <w:p/>
    <w:p>
      <w:pPr>
        <w:pStyle w:val="Heading1"/>
      </w:pPr>
      <w:r>
        <w:t>Appendix A. Worked Bootstrap Summary - NIFTY, 03 June 2026</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vAlign w:val="center"/>
            <w:shd w:fill="D9EAF7"/>
          </w:tcPr>
          <w:p>
            <w:pPr>
              <w:spacing w:after="0"/>
            </w:pPr>
            <w:r/>
            <w:r>
              <w:rPr>
                <w:rFonts w:ascii="Aptos" w:hAnsi="Aptos"/>
                <w:b/>
                <w:sz w:val="16"/>
              </w:rPr>
              <w:t>Month evaluated</w:t>
            </w:r>
          </w:p>
        </w:tc>
        <w:tc>
          <w:tcPr>
            <w:tcW w:type="dxa" w:w="6048"/>
            <w:vAlign w:val="center"/>
            <w:shd w:fill="D9EAF7"/>
          </w:tcPr>
          <w:p>
            <w:pPr>
              <w:spacing w:after="0"/>
            </w:pPr>
            <w:r/>
            <w:r>
              <w:rPr>
                <w:rFonts w:ascii="Aptos" w:hAnsi="Aptos"/>
                <w:b/>
                <w:sz w:val="16"/>
              </w:rPr>
              <w:t>Comparison</w:t>
            </w:r>
          </w:p>
        </w:tc>
        <w:tc>
          <w:tcPr>
            <w:tcW w:type="dxa" w:w="2592"/>
            <w:vAlign w:val="center"/>
            <w:shd w:fill="D9EAF7"/>
          </w:tcPr>
          <w:p>
            <w:pPr>
              <w:spacing w:after="0"/>
            </w:pPr>
            <w:r/>
            <w:r>
              <w:rPr>
                <w:rFonts w:ascii="Aptos" w:hAnsi="Aptos"/>
                <w:b/>
                <w:sz w:val="16"/>
              </w:rPr>
              <w:t>Result</w:t>
            </w:r>
          </w:p>
        </w:tc>
      </w:tr>
      <w:tr>
        <w:tc>
          <w:tcPr>
            <w:tcW w:type="dxa" w:w="2592"/>
            <w:vAlign w:val="center"/>
          </w:tcPr>
          <w:p>
            <w:pPr>
              <w:spacing w:after="0"/>
            </w:pPr>
            <w:r/>
            <w:r>
              <w:rPr>
                <w:rFonts w:ascii="Aptos" w:hAnsi="Aptos"/>
                <w:b w:val="0"/>
                <w:sz w:val="16"/>
              </w:rPr>
              <w:t>June 2026 vs May 2026</w:t>
            </w:r>
          </w:p>
        </w:tc>
        <w:tc>
          <w:tcPr>
            <w:tcW w:type="dxa" w:w="6048"/>
            <w:vAlign w:val="center"/>
          </w:tcPr>
          <w:p>
            <w:pPr>
              <w:spacing w:after="0"/>
            </w:pPr>
            <w:r/>
            <w:r>
              <w:rPr>
                <w:rFonts w:ascii="Aptos" w:hAnsi="Aptos"/>
                <w:b w:val="0"/>
                <w:sz w:val="16"/>
              </w:rPr>
              <w:t>June CMH below May PMH bullish threshold; June CML breached May PML but not Bearish Value.</w:t>
            </w:r>
          </w:p>
        </w:tc>
        <w:tc>
          <w:tcPr>
            <w:tcW w:type="dxa" w:w="2592"/>
            <w:vAlign w:val="center"/>
          </w:tcPr>
          <w:p>
            <w:pPr>
              <w:spacing w:after="0"/>
            </w:pPr>
            <w:r/>
            <w:r>
              <w:rPr>
                <w:rFonts w:ascii="Aptos" w:hAnsi="Aptos"/>
                <w:b w:val="0"/>
                <w:sz w:val="16"/>
              </w:rPr>
              <w:t>UNKNOWN; borrow May.</w:t>
            </w:r>
          </w:p>
        </w:tc>
      </w:tr>
      <w:tr>
        <w:tc>
          <w:tcPr>
            <w:tcW w:type="dxa" w:w="2592"/>
            <w:vAlign w:val="center"/>
          </w:tcPr>
          <w:p>
            <w:pPr>
              <w:spacing w:after="0"/>
            </w:pPr>
            <w:r/>
            <w:r>
              <w:rPr>
                <w:rFonts w:ascii="Aptos" w:hAnsi="Aptos"/>
                <w:b w:val="0"/>
                <w:sz w:val="16"/>
              </w:rPr>
              <w:t>May 2026 vs April 2026</w:t>
            </w:r>
          </w:p>
        </w:tc>
        <w:tc>
          <w:tcPr>
            <w:tcW w:type="dxa" w:w="6048"/>
            <w:vAlign w:val="center"/>
          </w:tcPr>
          <w:p>
            <w:pPr>
              <w:spacing w:after="0"/>
            </w:pPr>
            <w:r/>
            <w:r>
              <w:rPr>
                <w:rFonts w:ascii="Aptos" w:hAnsi="Aptos"/>
                <w:b w:val="0"/>
                <w:sz w:val="16"/>
              </w:rPr>
              <w:t>May high below April high; May low above April low.</w:t>
            </w:r>
          </w:p>
        </w:tc>
        <w:tc>
          <w:tcPr>
            <w:tcW w:type="dxa" w:w="2592"/>
            <w:vAlign w:val="center"/>
          </w:tcPr>
          <w:p>
            <w:pPr>
              <w:spacing w:after="0"/>
            </w:pPr>
            <w:r/>
            <w:r>
              <w:rPr>
                <w:rFonts w:ascii="Aptos" w:hAnsi="Aptos"/>
                <w:b w:val="0"/>
                <w:sz w:val="16"/>
              </w:rPr>
              <w:t>UNKNOWN; borrow April.</w:t>
            </w:r>
          </w:p>
        </w:tc>
      </w:tr>
      <w:tr>
        <w:tc>
          <w:tcPr>
            <w:tcW w:type="dxa" w:w="2592"/>
            <w:vAlign w:val="center"/>
          </w:tcPr>
          <w:p>
            <w:pPr>
              <w:spacing w:after="0"/>
            </w:pPr>
            <w:r/>
            <w:r>
              <w:rPr>
                <w:rFonts w:ascii="Aptos" w:hAnsi="Aptos"/>
                <w:b w:val="0"/>
                <w:sz w:val="16"/>
              </w:rPr>
              <w:t>April 2026 vs March 2026</w:t>
            </w:r>
          </w:p>
        </w:tc>
        <w:tc>
          <w:tcPr>
            <w:tcW w:type="dxa" w:w="6048"/>
            <w:vAlign w:val="center"/>
          </w:tcPr>
          <w:p>
            <w:pPr>
              <w:spacing w:after="0"/>
            </w:pPr>
            <w:r/>
            <w:r>
              <w:rPr>
                <w:rFonts w:ascii="Aptos" w:hAnsi="Aptos"/>
                <w:b w:val="0"/>
                <w:sz w:val="16"/>
              </w:rPr>
              <w:t>April low below March PML but not below PML - 0.75%.</w:t>
            </w:r>
          </w:p>
        </w:tc>
        <w:tc>
          <w:tcPr>
            <w:tcW w:type="dxa" w:w="2592"/>
            <w:vAlign w:val="center"/>
          </w:tcPr>
          <w:p>
            <w:pPr>
              <w:spacing w:after="0"/>
            </w:pPr>
            <w:r/>
            <w:r>
              <w:rPr>
                <w:rFonts w:ascii="Aptos" w:hAnsi="Aptos"/>
                <w:b w:val="0"/>
                <w:sz w:val="16"/>
              </w:rPr>
              <w:t>UNKNOWN; borrow March.</w:t>
            </w:r>
          </w:p>
        </w:tc>
      </w:tr>
      <w:tr>
        <w:tc>
          <w:tcPr>
            <w:tcW w:type="dxa" w:w="2592"/>
            <w:vAlign w:val="center"/>
          </w:tcPr>
          <w:p>
            <w:pPr>
              <w:spacing w:after="0"/>
            </w:pPr>
            <w:r/>
            <w:r>
              <w:rPr>
                <w:rFonts w:ascii="Aptos" w:hAnsi="Aptos"/>
                <w:b w:val="0"/>
                <w:sz w:val="16"/>
              </w:rPr>
              <w:t>March 2026 vs February 2026</w:t>
            </w:r>
          </w:p>
        </w:tc>
        <w:tc>
          <w:tcPr>
            <w:tcW w:type="dxa" w:w="6048"/>
            <w:vAlign w:val="center"/>
          </w:tcPr>
          <w:p>
            <w:pPr>
              <w:spacing w:after="0"/>
            </w:pPr>
            <w:r/>
            <w:r>
              <w:rPr>
                <w:rFonts w:ascii="Aptos" w:hAnsi="Aptos"/>
                <w:b w:val="0"/>
                <w:sz w:val="16"/>
              </w:rPr>
              <w:t>March CML below Bearish Value and below Bearish Value - 0.75%.</w:t>
            </w:r>
          </w:p>
        </w:tc>
        <w:tc>
          <w:tcPr>
            <w:tcW w:type="dxa" w:w="2592"/>
            <w:vAlign w:val="center"/>
          </w:tcPr>
          <w:p>
            <w:pPr>
              <w:spacing w:after="0"/>
            </w:pPr>
            <w:r/>
            <w:r>
              <w:rPr>
                <w:rFonts w:ascii="Aptos" w:hAnsi="Aptos"/>
                <w:b w:val="0"/>
                <w:sz w:val="16"/>
              </w:rPr>
              <w:t>BEAR_CF.</w:t>
            </w:r>
          </w:p>
        </w:tc>
      </w:tr>
      <w:tr>
        <w:tc>
          <w:tcPr>
            <w:tcW w:type="dxa" w:w="2592"/>
            <w:vAlign w:val="center"/>
          </w:tcPr>
          <w:p>
            <w:pPr>
              <w:spacing w:after="0"/>
            </w:pPr>
            <w:r/>
            <w:r>
              <w:rPr>
                <w:rFonts w:ascii="Aptos" w:hAnsi="Aptos"/>
                <w:b w:val="0"/>
                <w:sz w:val="16"/>
              </w:rPr>
              <w:t>Propagation</w:t>
            </w:r>
          </w:p>
        </w:tc>
        <w:tc>
          <w:tcPr>
            <w:tcW w:type="dxa" w:w="6048"/>
            <w:vAlign w:val="center"/>
          </w:tcPr>
          <w:p>
            <w:pPr>
              <w:spacing w:after="0"/>
            </w:pPr>
            <w:r/>
            <w:r>
              <w:rPr>
                <w:rFonts w:ascii="Aptos" w:hAnsi="Aptos"/>
                <w:b w:val="0"/>
                <w:sz w:val="16"/>
              </w:rPr>
              <w:t>April, May and June unresolved after March.</w:t>
            </w:r>
          </w:p>
        </w:tc>
        <w:tc>
          <w:tcPr>
            <w:tcW w:type="dxa" w:w="2592"/>
            <w:vAlign w:val="center"/>
          </w:tcPr>
          <w:p>
            <w:pPr>
              <w:spacing w:after="0"/>
            </w:pPr>
            <w:r/>
            <w:r>
              <w:rPr>
                <w:rFonts w:ascii="Aptos" w:hAnsi="Aptos"/>
                <w:b w:val="0"/>
                <w:sz w:val="16"/>
              </w:rPr>
              <w:t>June status at the example time = BEAR_CF.</w:t>
            </w:r>
          </w:p>
        </w:tc>
      </w:tr>
    </w:tbl>
    <w:p/>
    <w:sectPr w:rsidR="00FC693F" w:rsidRPr="0006063C" w:rsidSect="00034616">
      <w:headerReference w:type="default" r:id="rId11"/>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Controlled Specification v1.0 | Monthly Status | 29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TFIS Monthly Status Reference and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rPr>
      <w:rFonts w:ascii="Aptos" w:hAnsi="Aptos"/>
      <w:b/>
      <w:color w:val="1F4E79"/>
      <w:sz w:val="19"/>
    </w:r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TFIS Monthly Status Reference and Implementation Specification</dc:title>
  <dc:subject>Authoritative Monthly Status rules, runtime behaviour, implementation contract and validation guide</dc:subject>
  <dc:creator>TFIS Project</dc:creator>
  <cp:keywords/>
  <dc:description>Consolidates All Segment Rules diagrams, manual monthly status walkthrough and strategy-owner clarifications.</dc:description>
  <cp:lastModifiedBy/>
  <cp:revision>1</cp:revision>
  <dcterms:created xsi:type="dcterms:W3CDTF">2013-12-23T23:15:00Z</dcterms:created>
  <dcterms:modified xsi:type="dcterms:W3CDTF">2013-12-23T23:15:00Z</dcterms:modified>
  <cp:category/>
</cp:coreProperties>
</file>