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6"/>
        </w:rPr>
        <w:t>LLM-Assisted PRA COREP Reporting Assistant</w:t>
        <w:br/>
      </w:r>
    </w:p>
    <w:p>
      <w:pPr>
        <w:jc w:val="center"/>
      </w:pPr>
      <w:r>
        <w:rPr>
          <w:b/>
          <w:sz w:val="28"/>
        </w:rPr>
        <w:t>Prototype Proposal</w:t>
      </w:r>
    </w:p>
    <w:p/>
    <w:p>
      <w:pPr>
        <w:jc w:val="center"/>
      </w:pPr>
      <w:r>
        <w:rPr>
          <w:sz w:val="22"/>
        </w:rPr>
        <w:t>Internship Assignment Submission</w:t>
        <w:br/>
        <w:br/>
        <w:t>Name: Mukesh Kumar</w:t>
        <w:br/>
        <w:t>Institution: IIT Delhi</w:t>
        <w:br/>
        <w:t>Role Applied For: Internship (Regulatory / Data / AI)</w:t>
        <w:br/>
        <w:t>Date: February 06, 2026</w:t>
      </w:r>
    </w:p>
    <w:p>
      <w:r>
        <w:br w:type="page"/>
      </w:r>
    </w:p>
    <w:p>
      <w:pPr>
        <w:pStyle w:val="Heading1"/>
      </w:pPr>
      <w:r>
        <w:t>Table of Contents</w:t>
      </w:r>
    </w:p>
    <w:p>
      <w:pPr>
        <w:pStyle w:val="ListNumber"/>
      </w:pPr>
      <w:r>
        <w:t>1. Executive Summary</w:t>
      </w:r>
    </w:p>
    <w:p>
      <w:pPr>
        <w:pStyle w:val="ListNumber"/>
      </w:pPr>
      <w:r>
        <w:t>2. Problem Understanding</w:t>
      </w:r>
    </w:p>
    <w:p>
      <w:pPr>
        <w:pStyle w:val="ListNumber"/>
      </w:pPr>
      <w:r>
        <w:t>3. Scope and Assumptions</w:t>
      </w:r>
    </w:p>
    <w:p>
      <w:pPr>
        <w:pStyle w:val="ListNumber"/>
      </w:pPr>
      <w:r>
        <w:t>4. High-Level System Architecture</w:t>
      </w:r>
    </w:p>
    <w:p>
      <w:pPr>
        <w:pStyle w:val="ListNumber"/>
      </w:pPr>
      <w:r>
        <w:t>5. Technical Implementation Details</w:t>
      </w:r>
    </w:p>
    <w:p>
      <w:pPr>
        <w:pStyle w:val="ListBullet"/>
        <w:ind w:left="720"/>
      </w:pPr>
      <w:r>
        <w:t xml:space="preserve">    5.1 Regulatory Text Retrieval (RAG)</w:t>
      </w:r>
    </w:p>
    <w:p>
      <w:pPr>
        <w:pStyle w:val="ListBullet"/>
        <w:ind w:left="720"/>
      </w:pPr>
      <w:r>
        <w:t xml:space="preserve">    5.2 Structured LLM Output</w:t>
      </w:r>
    </w:p>
    <w:p>
      <w:pPr>
        <w:pStyle w:val="ListBullet"/>
        <w:ind w:left="720"/>
      </w:pPr>
      <w:r>
        <w:t xml:space="preserve">    5.3 COREP Template Mapping</w:t>
      </w:r>
    </w:p>
    <w:p>
      <w:pPr>
        <w:pStyle w:val="ListBullet"/>
        <w:ind w:left="720"/>
      </w:pPr>
      <w:r>
        <w:t xml:space="preserve">    5.4 Validation and Error Detection</w:t>
      </w:r>
    </w:p>
    <w:p>
      <w:pPr>
        <w:pStyle w:val="ListBullet"/>
        <w:ind w:left="720"/>
      </w:pPr>
      <w:r>
        <w:t xml:space="preserve">    5.5 Audit Trail and Explainability</w:t>
      </w:r>
    </w:p>
    <w:p>
      <w:pPr>
        <w:pStyle w:val="ListNumber"/>
      </w:pPr>
      <w:r>
        <w:t>6. Concrete Use Case Example</w:t>
      </w:r>
    </w:p>
    <w:p>
      <w:pPr>
        <w:pStyle w:val="ListNumber"/>
      </w:pPr>
      <w:r>
        <w:t>7. Risk Mitigation and Governance</w:t>
      </w:r>
    </w:p>
    <w:p>
      <w:pPr>
        <w:pStyle w:val="ListNumber"/>
      </w:pPr>
      <w:r>
        <w:t>8. Implementation Roadmap</w:t>
      </w:r>
    </w:p>
    <w:p>
      <w:pPr>
        <w:pStyle w:val="ListNumber"/>
      </w:pPr>
      <w:r>
        <w:t>9. Expected Benefits and Value Proposition</w:t>
      </w:r>
    </w:p>
    <w:p>
      <w:pPr>
        <w:pStyle w:val="ListNumber"/>
      </w:pPr>
      <w:r>
        <w:t>10. Limitations and Future Enhancements</w:t>
      </w:r>
    </w:p>
    <w:p>
      <w:pPr>
        <w:pStyle w:val="ListNumber"/>
      </w:pPr>
      <w:r>
        <w:t>11. Conclusion</w:t>
      </w:r>
    </w:p>
    <w:p>
      <w:pPr>
        <w:pStyle w:val="ListNumber"/>
      </w:pPr>
      <w:r>
        <w:t>12. References and Appendices</w:t>
      </w:r>
    </w:p>
    <w:p>
      <w:r>
        <w:br w:type="page"/>
      </w:r>
    </w:p>
    <w:p>
      <w:pPr>
        <w:pStyle w:val="Heading1"/>
      </w:pPr>
      <w:r>
        <w:t>1. Executive Summary</w:t>
      </w:r>
    </w:p>
    <w:p>
      <w:r>
        <w:t>This proposal presents a prototype LLM-assisted regulatory reporting assistant designed to support UK banks in preparing PRA COREP returns. The system addresses a critical pain point in regulatory compliance: the highly manual, error-prone process of interpreting dense regulatory text and mapping business scenarios to specific COREP reporting requirements.</w:t>
      </w:r>
    </w:p>
    <w:p>
      <w:r>
        <w:t>By leveraging Retrieval-Augmented Generation (RAG) and schema-constrained language models, the proposed solution aims to reduce regulatory text research time by approximately 40%, improve citation consistency, and create reusable audit trails for regulatory examinations. Critically, the system is designed as a decision-support tool, not an automation platform—final reporting responsibility remains with qualified analysts.</w:t>
      </w:r>
    </w:p>
    <w:p>
      <w:r>
        <w:t>The prototype focuses on Own Funds (C 01.00) and Capital Requirements (C 02.00) templates, providing a controlled environment to demonstrate end-to-end functionality while maintaining regulatory safety and auditability.</w:t>
      </w:r>
    </w:p>
    <w:p>
      <w:pPr>
        <w:pStyle w:val="Heading1"/>
      </w:pPr>
      <w:r>
        <w:t>2. Problem Understanding</w:t>
      </w:r>
    </w:p>
    <w:p>
      <w:pPr>
        <w:pStyle w:val="Heading2"/>
      </w:pPr>
      <w:r>
        <w:t>2.1 Current Challenges in COREP Reporting</w:t>
      </w:r>
    </w:p>
    <w:p>
      <w:r>
        <w:t>UK banks regulated under the PRA Rulebook must submit COREP (Common Reporting) returns that accurately reflect their capital position, risk exposures, and prudential metrics. These submissions must comply with detailed templates and instructions defined by EBA (European Banking Authority) taxonomies and PRA guidance.</w:t>
      </w:r>
    </w:p>
    <w:p>
      <w:r>
        <w:t>Key challenges in current COREP preparation include:</w:t>
      </w:r>
    </w:p>
    <w:p>
      <w:pPr>
        <w:pStyle w:val="ListBullet"/>
      </w:pPr>
      <w:r>
        <w:t>Manual Interpretation: Analysts must navigate hundreds of pages of regulatory text, cross-referencing PRA Rulebook articles, CRR regulations, and COREP instructions</w:t>
      </w:r>
    </w:p>
    <w:p>
      <w:pPr>
        <w:pStyle w:val="ListBullet"/>
      </w:pPr>
      <w:r>
        <w:t>Frequent Updates: Regulatory guidance changes quarterly, requiring constant re-familiarization with updated requirements</w:t>
      </w:r>
    </w:p>
    <w:p>
      <w:pPr>
        <w:pStyle w:val="ListBullet"/>
      </w:pPr>
      <w:r>
        <w:t>Inconsistent Application: Different analysts may interpret the same regulation differently, leading to inconsistencies across reporting periods</w:t>
      </w:r>
    </w:p>
    <w:p>
      <w:pPr>
        <w:pStyle w:val="ListBullet"/>
      </w:pPr>
      <w:r>
        <w:t>Error Risk: Manual mapping from business data to COREP rows/columns increases the risk of omissions and misclassifications</w:t>
      </w:r>
    </w:p>
    <w:p>
      <w:pPr>
        <w:pStyle w:val="ListBullet"/>
      </w:pPr>
      <w:r>
        <w:t>Limited Traceability: Justifications for reporting decisions are often documented informally, making audit preparation time-consuming</w:t>
      </w:r>
    </w:p>
    <w:p>
      <w:pPr>
        <w:pStyle w:val="Heading2"/>
      </w:pPr>
      <w:r>
        <w:t>2.2 Opportunity for LLM Assistance</w:t>
      </w:r>
    </w:p>
    <w:p>
      <w:r>
        <w:t>Recent advances in large language models create an opportunity to assist analysts in navigating regulatory text and mapping business scenarios to reporting requirements. However, any such system must be carefully scoped to ensure:</w:t>
      </w:r>
    </w:p>
    <w:p>
      <w:pPr>
        <w:pStyle w:val="ListBullet"/>
      </w:pPr>
      <w:r>
        <w:t>Outputs are auditable and explainable with clear regulatory citations</w:t>
      </w:r>
    </w:p>
    <w:p>
      <w:pPr>
        <w:pStyle w:val="ListBullet"/>
      </w:pPr>
      <w:r>
        <w:t>Hallucination risk is minimized through schema constraints and validation</w:t>
      </w:r>
    </w:p>
    <w:p>
      <w:pPr>
        <w:pStyle w:val="ListBullet"/>
      </w:pPr>
      <w:r>
        <w:t>Human oversight remains central to the reporting process</w:t>
      </w:r>
    </w:p>
    <w:p>
      <w:pPr>
        <w:pStyle w:val="ListBullet"/>
      </w:pPr>
      <w:r>
        <w:t>The system enhances analyst productivity without replacing professional judgment</w:t>
      </w:r>
    </w:p>
    <w:p>
      <w:pPr>
        <w:pStyle w:val="Heading1"/>
      </w:pPr>
      <w:r>
        <w:t>3. Scope and Assumptions</w:t>
      </w:r>
    </w:p>
    <w:p>
      <w:pPr>
        <w:pStyle w:val="Heading2"/>
      </w:pPr>
      <w:r>
        <w:t>3.1 In-Scope</w:t>
      </w:r>
    </w:p>
    <w:p>
      <w:pPr>
        <w:pStyle w:val="ListBullet"/>
      </w:pPr>
      <w:r>
        <w:t>COREP Templates: Own Funds (C 01.00) and Capital Requirements (C 02.00)</w:t>
      </w:r>
    </w:p>
    <w:p>
      <w:pPr>
        <w:pStyle w:val="ListBullet"/>
      </w:pPr>
      <w:r>
        <w:t>Regulatory Sources: PRA Rulebook (Own Funds, Capital Requirements sections), EBA COREP instructions, CRR validation rules</w:t>
      </w:r>
    </w:p>
    <w:p>
      <w:pPr>
        <w:pStyle w:val="ListBullet"/>
      </w:pPr>
      <w:r>
        <w:t>User Base: Regulatory reporting analysts at UK banks</w:t>
      </w:r>
    </w:p>
    <w:p>
      <w:pPr>
        <w:pStyle w:val="ListBullet"/>
      </w:pPr>
      <w:r>
        <w:t>Functionality: Question-answering, scenario mapping to COREP fields, regulatory citation generation</w:t>
      </w:r>
    </w:p>
    <w:p>
      <w:pPr>
        <w:pStyle w:val="ListBullet"/>
      </w:pPr>
      <w:r>
        <w:t>Output Format: Structured JSON with audit trail, human-readable template extracts</w:t>
      </w:r>
    </w:p>
    <w:p>
      <w:pPr>
        <w:pStyle w:val="Heading2"/>
      </w:pPr>
      <w:r>
        <w:t>3.2 Out-of-Scope</w:t>
      </w:r>
    </w:p>
    <w:p>
      <w:pPr>
        <w:pStyle w:val="ListBullet"/>
      </w:pPr>
      <w:r>
        <w:t>Automated submission of COREP returns to regulators</w:t>
      </w:r>
    </w:p>
    <w:p>
      <w:pPr>
        <w:pStyle w:val="ListBullet"/>
      </w:pPr>
      <w:r>
        <w:t>Complete coverage of all 50+ COREP templates</w:t>
      </w:r>
    </w:p>
    <w:p>
      <w:pPr>
        <w:pStyle w:val="ListBullet"/>
      </w:pPr>
      <w:r>
        <w:t>Real-time regulatory update monitoring</w:t>
      </w:r>
    </w:p>
    <w:p>
      <w:pPr>
        <w:pStyle w:val="ListBullet"/>
      </w:pPr>
      <w:r>
        <w:t>Integration with core banking systems or data warehouses</w:t>
      </w:r>
    </w:p>
    <w:p>
      <w:pPr>
        <w:pStyle w:val="ListBullet"/>
      </w:pPr>
      <w:r>
        <w:t>Production-grade deployment (this is a proof-of-concept)</w:t>
      </w:r>
    </w:p>
    <w:p>
      <w:pPr>
        <w:pStyle w:val="Heading2"/>
      </w:pPr>
      <w:r>
        <w:t>3.3 Key Assumptions</w:t>
      </w:r>
    </w:p>
    <w:p>
      <w:pPr>
        <w:pStyle w:val="ListBullet"/>
      </w:pPr>
      <w:r>
        <w:t>The system serves as a decision-support assistant, not a replacement for human judgment</w:t>
      </w:r>
    </w:p>
    <w:p>
      <w:pPr>
        <w:pStyle w:val="ListBullet"/>
      </w:pPr>
      <w:r>
        <w:t>Final COREP submissions remain the responsibility of qualified reporting analysts</w:t>
      </w:r>
    </w:p>
    <w:p>
      <w:pPr>
        <w:pStyle w:val="ListBullet"/>
      </w:pPr>
      <w:r>
        <w:t>Regulatory text sources are current as of the system last update (version-controlled)</w:t>
      </w:r>
    </w:p>
    <w:p>
      <w:pPr>
        <w:pStyle w:val="ListBullet"/>
      </w:pPr>
      <w:r>
        <w:t>Users have domain knowledge sufficient to validate LLM outputs</w:t>
      </w:r>
    </w:p>
    <w:p>
      <w:pPr>
        <w:pStyle w:val="ListBullet"/>
      </w:pPr>
      <w:r>
        <w:t>Infrastructure supports secure handling of bank-confidential scenario data</w:t>
      </w:r>
    </w:p>
    <w:p>
      <w:pPr>
        <w:pStyle w:val="Heading1"/>
      </w:pPr>
      <w:r>
        <w:t>4. High-Level System Architecture</w:t>
      </w:r>
    </w:p>
    <w:p>
      <w:r>
        <w:t>The assistant follows a modular, auditable pipeline designed for transparency and regulatory compliance:</w:t>
      </w:r>
    </w:p>
    <w:p>
      <w:pPr>
        <w:pStyle w:val="Heading3"/>
      </w:pPr>
      <w:r>
        <w:t>Architecture Flow:</w:t>
      </w:r>
    </w:p>
    <w:p>
      <w:pPr/>
      <w:r>
        <w:br/>
        <w:t>User Question + Business Scenario</w:t>
        <w:br/>
        <w:t xml:space="preserve">        ↓</w:t>
        <w:br/>
        <w:t>Regulatory Text Retrieval (RAG Layer)</w:t>
        <w:br/>
        <w:t xml:space="preserve">        ↓</w:t>
        <w:br/>
        <w:t>LLM Structured Reasoning Engine</w:t>
        <w:br/>
        <w:t xml:space="preserve">        ↓</w:t>
        <w:br/>
        <w:t>Schema Validation &amp; Constraint Check</w:t>
        <w:br/>
        <w:t xml:space="preserve">        ↓</w:t>
        <w:br/>
        <w:t>COREP Template Population</w:t>
        <w:br/>
        <w:t xml:space="preserve">        ↓</w:t>
        <w:br/>
        <w:t>Business Rule Validation</w:t>
        <w:br/>
        <w:t xml:space="preserve">        ↓</w:t>
        <w:br/>
        <w:t>Output: Template Extract + Audit Log</w:t>
        <w:br/>
      </w:r>
    </w:p>
    <w:p>
      <w:pPr>
        <w:pStyle w:val="Heading2"/>
      </w:pPr>
      <w:r>
        <w:t>4.1 Key Components</w:t>
      </w:r>
    </w:p>
    <w:p>
      <w:r>
        <w:rPr>
          <w:b/>
        </w:rPr>
        <w:t xml:space="preserve">User Interface: </w:t>
      </w:r>
      <w:r>
        <w:t>Web-based interface accepting natural-language questions (e.g., "Where do I report retained earnings?") and structured scenario inputs (e.g., JSON containing capital amounts, deductions)</w:t>
      </w:r>
    </w:p>
    <w:p>
      <w:r>
        <w:rPr>
          <w:b/>
        </w:rPr>
        <w:t xml:space="preserve">Retrieval Layer (RAG): </w:t>
      </w:r>
      <w:r>
        <w:t>Semantic search over segmented regulatory documents (PRA Rulebook, EBA instructions). Uses vector embeddings to retrieve relevant sections based on query context</w:t>
      </w:r>
    </w:p>
    <w:p>
      <w:r>
        <w:rPr>
          <w:b/>
        </w:rPr>
        <w:t xml:space="preserve">LLM Reasoning Engine: </w:t>
      </w:r>
      <w:r>
        <w:t>Large language model (e.g., Claude Sonnet) constrained to output structured JSON matching COREP template schema. Generates field values with regulatory justifications</w:t>
      </w:r>
    </w:p>
    <w:p>
      <w:r>
        <w:rPr>
          <w:b/>
        </w:rPr>
        <w:t xml:space="preserve">Validation Layer: </w:t>
      </w:r>
      <w:r>
        <w:t>Applies COREP validation rules: mandatory field checks, cross-field consistency (e.g., totals = sum of components), value range validation</w:t>
      </w:r>
    </w:p>
    <w:p>
      <w:r>
        <w:rPr>
          <w:b/>
        </w:rPr>
        <w:t xml:space="preserve">Audit Layer: </w:t>
      </w:r>
      <w:r>
        <w:t>Records source documents, article references, and reasoning chain for each populated field. Outputs human-readable audit trail</w:t>
      </w:r>
    </w:p>
    <w:p>
      <w:pPr>
        <w:pStyle w:val="Heading1"/>
      </w:pPr>
      <w:r>
        <w:t>5. Technical Implementation Details</w:t>
      </w:r>
    </w:p>
    <w:p>
      <w:pPr>
        <w:pStyle w:val="Heading2"/>
      </w:pPr>
      <w:r>
        <w:t>5.1 Regulatory Text Retrieval (RAG)</w:t>
      </w:r>
    </w:p>
    <w:p>
      <w:r>
        <w:t>Data Sources:</w:t>
      </w:r>
    </w:p>
    <w:p>
      <w:pPr>
        <w:pStyle w:val="ListBullet"/>
      </w:pPr>
      <w:r>
        <w:t>PRA Rulebook – Own Funds, Capital Requirements chapters</w:t>
      </w:r>
    </w:p>
    <w:p>
      <w:pPr>
        <w:pStyle w:val="ListBullet"/>
      </w:pPr>
      <w:r>
        <w:t>EBA COREP Instructions (latest version)</w:t>
      </w:r>
    </w:p>
    <w:p>
      <w:pPr>
        <w:pStyle w:val="ListBullet"/>
      </w:pPr>
      <w:r>
        <w:t>CRR (Capital Requirements Regulation) relevant articles</w:t>
      </w:r>
    </w:p>
    <w:p>
      <w:pPr>
        <w:pStyle w:val="ListBullet"/>
      </w:pPr>
      <w:r>
        <w:t>PRA Supervisory Statements and Policy Statements</w:t>
      </w:r>
    </w:p>
    <w:p/>
    <w:p>
      <w:r>
        <w:t>Retrieval Method:</w:t>
      </w:r>
    </w:p>
    <w:p>
      <w:pPr>
        <w:pStyle w:val="ListBullet"/>
      </w:pPr>
      <w:r>
        <w:t>Document Segmentation: Regulatory text chunked by article/paragraph (avg. 300-500 tokens per chunk)</w:t>
      </w:r>
    </w:p>
    <w:p>
      <w:pPr>
        <w:pStyle w:val="ListBullet"/>
      </w:pPr>
      <w:r>
        <w:t>Embedding Model: Sentence transformers (e.g., all-MiniLM-L6-v2) for semantic vectorization</w:t>
      </w:r>
    </w:p>
    <w:p>
      <w:pPr>
        <w:pStyle w:val="ListBullet"/>
      </w:pPr>
      <w:r>
        <w:t>Vector Store: FAISS or ChromaDB for efficient similarity search</w:t>
      </w:r>
    </w:p>
    <w:p>
      <w:pPr>
        <w:pStyle w:val="ListBullet"/>
      </w:pPr>
      <w:r>
        <w:t>Retrieval Strategy: Top-k relevant passages (k=5-10) retrieved based on cosine similarity to user query</w:t>
      </w:r>
    </w:p>
    <w:p>
      <w:pPr>
        <w:pStyle w:val="ListBullet"/>
      </w:pPr>
      <w:r>
        <w:t>Metadata Tagging: Each chunk tagged with source document, version date, article number for traceability</w:t>
      </w:r>
    </w:p>
    <w:p>
      <w:pPr>
        <w:pStyle w:val="Heading2"/>
      </w:pPr>
      <w:r>
        <w:t>5.2 Structured LLM Output</w:t>
      </w:r>
    </w:p>
    <w:p>
      <w:r>
        <w:t>To prevent hallucination and ensure consistency, the LLM outputs data conforming to a predefined JSON schema aligned with COREP template structure.</w:t>
      </w:r>
    </w:p>
    <w:p>
      <w:pPr/>
      <w:r>
        <w:br/>
        <w:t>Example Schema (C 01.00 – Own Funds):</w:t>
        <w:br/>
        <w:br/>
        <w:t>{</w:t>
        <w:br/>
        <w:t xml:space="preserve">  "template": "C01.00",</w:t>
        <w:br/>
        <w:t xml:space="preserve">  "reporting_date": "2025-12-31",</w:t>
        <w:br/>
        <w:t xml:space="preserve">  "fields": {</w:t>
        <w:br/>
        <w:t xml:space="preserve">    "CET1_capital_instruments": {</w:t>
        <w:br/>
        <w:t xml:space="preserve">      "row": "010",</w:t>
        <w:br/>
        <w:t xml:space="preserve">      "column": "010",</w:t>
        <w:br/>
        <w:t xml:space="preserve">      "value": 1500000000,</w:t>
        <w:br/>
        <w:t xml:space="preserve">      "currency": "GBP",</w:t>
        <w:br/>
        <w:t xml:space="preserve">      "justification": [</w:t>
        <w:br/>
        <w:t xml:space="preserve">        "PRA Rulebook – Own Funds, Article 26(1)",</w:t>
        <w:br/>
        <w:t xml:space="preserve">        "COREP C01.00 Instruction – Row 010: Ordinary shares"</w:t>
        <w:br/>
        <w:t xml:space="preserve">      ],</w:t>
        <w:br/>
        <w:t xml:space="preserve">      "confidence": "high"</w:t>
        <w:br/>
        <w:t xml:space="preserve">    },</w:t>
        <w:br/>
        <w:t xml:space="preserve">    "retained_earnings": {</w:t>
        <w:br/>
        <w:t xml:space="preserve">      "row": "050",</w:t>
        <w:br/>
        <w:t xml:space="preserve">      "column": "010",</w:t>
        <w:br/>
        <w:t xml:space="preserve">      "value": 800000000,</w:t>
        <w:br/>
        <w:t xml:space="preserve">      "currency": "GBP",</w:t>
        <w:br/>
        <w:t xml:space="preserve">      "justification": [</w:t>
        <w:br/>
        <w:t xml:space="preserve">        "PRA Rulebook – Own Funds, Article 26(1)(c)",</w:t>
        <w:br/>
        <w:t xml:space="preserve">        "COREP C01.00 Instruction – Row 050"</w:t>
        <w:br/>
        <w:t xml:space="preserve">      ],</w:t>
        <w:br/>
        <w:t xml:space="preserve">      "confidence": "high"</w:t>
        <w:br/>
        <w:t xml:space="preserve">    }</w:t>
        <w:br/>
        <w:t xml:space="preserve">  },</w:t>
        <w:br/>
        <w:t xml:space="preserve">  "deductions": {</w:t>
        <w:br/>
        <w:t xml:space="preserve">    "intangible_assets": {</w:t>
        <w:br/>
        <w:t xml:space="preserve">      "row": "120",</w:t>
        <w:br/>
        <w:t xml:space="preserve">      "column": "010",</w:t>
        <w:br/>
        <w:t xml:space="preserve">      "value": -50000000,</w:t>
        <w:br/>
        <w:t xml:space="preserve">      "currency": "GBP",</w:t>
        <w:br/>
        <w:t xml:space="preserve">      "justification": [</w:t>
        <w:br/>
        <w:t xml:space="preserve">        "CRR Article 36(1)(b)",</w:t>
        <w:br/>
        <w:t xml:space="preserve">        "PRA Rulebook – Own Funds, Article 37"</w:t>
        <w:br/>
        <w:t xml:space="preserve">      ],</w:t>
        <w:br/>
        <w:t xml:space="preserve">      "confidence": "medium",</w:t>
        <w:br/>
        <w:t xml:space="preserve">      "notes": "Verify goodwill vs. other intangibles classification"</w:t>
        <w:br/>
        <w:t xml:space="preserve">    }</w:t>
        <w:br/>
        <w:t xml:space="preserve">  }</w:t>
        <w:br/>
        <w:t>}</w:t>
        <w:br/>
      </w:r>
    </w:p>
    <w:p>
      <w:pPr>
        <w:pStyle w:val="Heading2"/>
      </w:pPr>
      <w:r>
        <w:t>5.3 COREP Template Mapping</w:t>
      </w:r>
    </w:p>
    <w:p>
      <w:r>
        <w:t>The structured JSON output is transformed into a human-readable template extract for analyst review:</w:t>
      </w:r>
    </w:p>
    <w:p>
      <w:pPr/>
      <w:r>
        <w:br/>
        <w:t>COREP C 01.00 – Own Funds (Extract)</w:t>
        <w:br/>
        <w:t>Reporting Date: 2025-12-31</w:t>
        <w:br/>
        <w:br/>
        <w:t>Row | Description                          | Amount (GBP millions) | Regulatory Reference</w:t>
        <w:br/>
        <w:t>----|--------------------------------------|----------------------|----------------------</w:t>
        <w:br/>
        <w:t>010 | Capital instruments eligible as CET1 | 1,500                | PRA Rulebook Art. 26(1)</w:t>
        <w:br/>
        <w:t>050 | Retained earnings                    | 800                  | PRA Rulebook Art. 26(1)(c)</w:t>
        <w:br/>
        <w:t>120 | (-) Intangible assets               | (50)                 | CRR Art. 36(1)(b)</w:t>
        <w:br/>
        <w:t>... |                                      |                      |</w:t>
        <w:br/>
      </w:r>
    </w:p>
    <w:p>
      <w:pPr>
        <w:pStyle w:val="Heading2"/>
      </w:pPr>
      <w:r>
        <w:t>5.4 Validation and Error Detection</w:t>
      </w:r>
    </w:p>
    <w:p>
      <w:r>
        <w:t>The validation layer applies automated checks to identify potential issues:</w:t>
      </w:r>
    </w:p>
    <w:p>
      <w:pPr>
        <w:pStyle w:val="ListBullet"/>
      </w:pPr>
      <w:r>
        <w:t>Mandatory Field Check: Ensures all required COREP rows are populated (e.g., total capital row must exist)</w:t>
      </w:r>
    </w:p>
    <w:p>
      <w:pPr>
        <w:pStyle w:val="ListBullet"/>
      </w:pPr>
      <w:r>
        <w:t>Arithmetic Consistency: Validates that totals equal sum of components (e.g., CET1 = capital instruments + retained earnings - deductions)</w:t>
      </w:r>
    </w:p>
    <w:p>
      <w:pPr>
        <w:pStyle w:val="ListBullet"/>
      </w:pPr>
      <w:r>
        <w:t>Value Range Check: Flags negative values in fields expecting positive amounts (unless marked as deductions)</w:t>
      </w:r>
    </w:p>
    <w:p>
      <w:pPr>
        <w:pStyle w:val="ListBullet"/>
      </w:pPr>
      <w:r>
        <w:t>Cross-Template Consistency: Verifies that C 01.00 totals match those referenced in C 02.00</w:t>
      </w:r>
    </w:p>
    <w:p>
      <w:pPr>
        <w:pStyle w:val="ListBullet"/>
      </w:pPr>
      <w:r>
        <w:t>Regulatory Rule Check: Applies COREP validation rules (e.g., "if AT1 instruments &gt; 0, then row 030 must be populated")</w:t>
      </w:r>
    </w:p>
    <w:p/>
    <w:p>
      <w:pPr/>
      <w:r>
        <w:br/>
        <w:t>Example Validation Output:</w:t>
        <w:br/>
        <w:br/>
        <w:t>{</w:t>
        <w:br/>
        <w:t xml:space="preserve">  "validation_status": "warnings_present",</w:t>
        <w:br/>
        <w:t xml:space="preserve">  "errors": [],</w:t>
        <w:br/>
        <w:t xml:space="preserve">  "warnings": [</w:t>
        <w:br/>
        <w:t xml:space="preserve">    {</w:t>
        <w:br/>
        <w:t xml:space="preserve">      "severity": "medium",</w:t>
        <w:br/>
        <w:t xml:space="preserve">      "field": "retained_earnings",</w:t>
        <w:br/>
        <w:t xml:space="preserve">      "message": "Retained earnings included but audit status not specified in notes",</w:t>
        <w:br/>
        <w:t xml:space="preserve">      "recommendation": "Verify whether post-audit or interim figures per COREP instructions"</w:t>
        <w:br/>
        <w:t xml:space="preserve">    },</w:t>
        <w:br/>
        <w:t xml:space="preserve">    {</w:t>
        <w:br/>
        <w:t xml:space="preserve">      "severity": "low",</w:t>
        <w:br/>
        <w:t xml:space="preserve">      "field": "intangible_assets",</w:t>
        <w:br/>
        <w:t xml:space="preserve">      "message": "Deduction marked as medium confidence",</w:t>
        <w:br/>
        <w:t xml:space="preserve">      "recommendation": "Review goodwill vs. software intangibles treatment"</w:t>
        <w:br/>
        <w:t xml:space="preserve">    }</w:t>
        <w:br/>
        <w:t xml:space="preserve">  ]</w:t>
        <w:br/>
        <w:t>}</w:t>
        <w:br/>
      </w:r>
    </w:p>
    <w:p>
      <w:pPr>
        <w:pStyle w:val="Heading2"/>
      </w:pPr>
      <w:r>
        <w:t>5.5 Audit Trail and Explainability</w:t>
      </w:r>
    </w:p>
    <w:p>
      <w:r>
        <w:t>For regulatory compliance and internal audit, every populated field is accompanied by a detailed audit log:</w:t>
      </w:r>
    </w:p>
    <w:p>
      <w:pPr/>
      <w:r>
        <w:br/>
        <w:t>Audit Log Example:</w:t>
        <w:br/>
        <w:br/>
        <w:t>Field: CET1_capital_instruments (Row 010)</w:t>
        <w:br/>
        <w:t>Value: £1,500,000,000</w:t>
        <w:br/>
        <w:t>Currency: GBP</w:t>
        <w:br/>
        <w:br/>
        <w:t>Regulatory Justification:</w:t>
        <w:br/>
        <w:t xml:space="preserve">  1. PRA Rulebook – Own Funds, Article 26(1): "Common Equity Tier 1 items comprise: (a) capital instruments..."</w:t>
        <w:br/>
        <w:t xml:space="preserve">  2. COREP C01.00 Instructions, Row 010: "Ordinary shares meeting CRR Article 28 criteria"</w:t>
        <w:br/>
        <w:t xml:space="preserve">  3. CRR Article 28(1): "Qualifying capital instruments must be issued directly by the institution..."</w:t>
        <w:br/>
        <w:br/>
        <w:t>Retrieved Context (RAG):</w:t>
        <w:br/>
        <w:t xml:space="preserve">  - Source Document: PRA_Rulebook_Own_Funds_v2024Q4.pdf</w:t>
        <w:br/>
        <w:t xml:space="preserve">  - Section: Article 26, Paragraph 1</w:t>
        <w:br/>
        <w:t xml:space="preserve">  - Chunk ID: PRA_OF_026_001</w:t>
        <w:br/>
        <w:br/>
        <w:t>User Input Scenario:</w:t>
        <w:br/>
        <w:t xml:space="preserve">  - Scenario Field: "ordinary_share_capital"</w:t>
        <w:br/>
        <w:t xml:space="preserve">  - Input Value: 1500000000</w:t>
        <w:br/>
        <w:t xml:space="preserve">  - Input Currency: GBP</w:t>
        <w:br/>
        <w:br/>
        <w:t>LLM Reasoning Chain:</w:t>
        <w:br/>
        <w:t xml:space="preserve">  "The user scenario specifies ordinary share capital of £1.5bn. Per PRA Rulebook Article 26(1)(a), ordinary shares </w:t>
        <w:br/>
        <w:t xml:space="preserve">   qualifying under CRR Article 28 constitute CET1 capital instruments. This maps to COREP C01.00 Row 010..."</w:t>
        <w:br/>
        <w:br/>
        <w:t>Confidence: High</w:t>
        <w:br/>
        <w:t>Timestamp: 2026-02-06T16:15:00Z</w:t>
        <w:br/>
        <w:t>Model Version: claude-sonnet-4-20250514</w:t>
        <w:br/>
      </w:r>
    </w:p>
    <w:p>
      <w:pPr>
        <w:pStyle w:val="Heading1"/>
      </w:pPr>
      <w:r>
        <w:t>6. Concrete Use Case Example</w:t>
      </w:r>
    </w:p>
    <w:p>
      <w:r>
        <w:t>To illustrate end-to-end functionality, consider the following analyst scenario:</w:t>
      </w:r>
    </w:p>
    <w:p>
      <w:pPr>
        <w:pStyle w:val="Heading2"/>
      </w:pPr>
      <w:r>
        <w:t>6.1 Analyst Question</w:t>
      </w:r>
    </w:p>
    <w:p>
      <w:r>
        <w:rPr>
          <w:b/>
        </w:rPr>
        <w:t xml:space="preserve">Question: </w:t>
      </w:r>
      <w:r>
        <w:t>"We have £50 million in retained earnings and £20 million in share premium. Which COREP C 01.00 rows do these populate, and what deductions must we consider under CRR Article 36?"</w:t>
      </w:r>
    </w:p>
    <w:p>
      <w:pPr>
        <w:pStyle w:val="Heading2"/>
      </w:pPr>
      <w:r>
        <w:t>6.2 System Processing Flow</w:t>
      </w:r>
    </w:p>
    <w:p>
      <w:pPr>
        <w:pStyle w:val="ListNumber"/>
      </w:pPr>
      <w:r>
        <w:t>Query Analysis: System identifies key entities (retained earnings, share premium, CRR Article 36, COREP C 01.00)</w:t>
      </w:r>
    </w:p>
    <w:p>
      <w:pPr>
        <w:pStyle w:val="ListNumber"/>
      </w:pPr>
      <w:r>
        <w:t>RAG Retrieval: Searches regulatory text for:</w:t>
        <w:br/>
        <w:t xml:space="preserve">   - PRA Rulebook definitions of retained earnings and share premium</w:t>
        <w:br/>
        <w:t xml:space="preserve">   - CRR Article 36 (deductions from CET1)</w:t>
        <w:br/>
        <w:t xml:space="preserve">   - COREP C 01.00 instructions for rows mapping these items</w:t>
      </w:r>
    </w:p>
    <w:p>
      <w:pPr>
        <w:pStyle w:val="ListNumber"/>
      </w:pPr>
      <w:r>
        <w:t>LLM Reasoning: Generates structured output mapping:</w:t>
        <w:br/>
        <w:t xml:space="preserve">   - Retained earnings → Row 050 (CET1 component)</w:t>
        <w:br/>
        <w:t xml:space="preserve">   - Share premium → Row 040 (CET1 component)</w:t>
        <w:br/>
        <w:t xml:space="preserve">   - Identifies potential deductions per CRR Article 36 (intangible assets, deferred tax assets)</w:t>
      </w:r>
    </w:p>
    <w:p>
      <w:pPr>
        <w:pStyle w:val="ListNumber"/>
      </w:pPr>
      <w:r>
        <w:t>Validation: Checks that values are positive, currency is specified, and required justifications are present</w:t>
      </w:r>
    </w:p>
    <w:p>
      <w:pPr>
        <w:pStyle w:val="ListNumber"/>
      </w:pPr>
      <w:r>
        <w:t>Output Generation: Produces template extract and audit trail</w:t>
      </w:r>
    </w:p>
    <w:p>
      <w:pPr>
        <w:pStyle w:val="Heading2"/>
      </w:pPr>
      <w:r>
        <w:t>6.3 System Output</w:t>
      </w:r>
    </w:p>
    <w:p>
      <w:pPr/>
      <w:r>
        <w:br/>
        <w:t>COREP C 01.00 Mapping:</w:t>
        <w:br/>
        <w:br/>
        <w:t>Row 040 | Share premium                        | £20,000,000  | PRA Rulebook Art. 26(1)(b)</w:t>
        <w:br/>
        <w:t>Row 050 | Retained earnings                    | £50,000,000  | PRA Rulebook Art. 26(1)(c)</w:t>
        <w:br/>
        <w:br/>
        <w:t>Relevant Deductions (CRR Article 36):</w:t>
        <w:br/>
        <w:t>Row 120 | Intangible assets                   | [User to populate] | CRR Art. 36(1)(b)</w:t>
        <w:br/>
        <w:t>Row 130 | Deferred tax assets (risk-weighted) | [User to populate] | CRR Art. 36(1)(c)</w:t>
        <w:br/>
        <w:br/>
        <w:t>Notes:</w:t>
        <w:br/>
        <w:t>- Share premium qualifies as CET1 per PRA Rulebook Article 26(1)(b) provided it meets CRR Article 28 criteria</w:t>
        <w:br/>
        <w:t>- Retained earnings must be verified post-audit per COREP instructions</w:t>
        <w:br/>
        <w:t>- CRR Article 36 requires deduction of intangible assets from CET1 capital—verify if goodwill or software assets exist</w:t>
        <w:br/>
        <w:t>- Deferred tax assets exceeding 10% threshold subject to deduction per CRR Article 36(1)(c)</w:t>
        <w:br/>
        <w:br/>
        <w:t>Recommended Next Steps:</w:t>
        <w:br/>
        <w:t>1. Verify share premium instruments meet CRR Article 28 eligibility criteria</w:t>
        <w:br/>
        <w:t>2. Confirm retained earnings figure is post-final audit</w:t>
        <w:br/>
        <w:t>3. Populate deduction rows 120-130 based on balance sheet intangibles and DTAs</w:t>
        <w:br/>
      </w:r>
    </w:p>
    <w:p>
      <w:pPr>
        <w:pStyle w:val="Heading1"/>
      </w:pPr>
      <w:r>
        <w:t>7. Risk Mitigation and Governance</w:t>
      </w:r>
    </w:p>
    <w:p>
      <w:r>
        <w:t>Given the high-stakes nature of regulatory reporting, the system incorporates multiple layers of risk controls:</w:t>
      </w:r>
    </w:p>
    <w:p>
      <w:pPr>
        <w:pStyle w:val="Heading2"/>
      </w:pPr>
      <w:r>
        <w:t>7.1 Model Risk Controls</w:t>
      </w:r>
    </w:p>
    <w:p>
      <w:pPr>
        <w:pStyle w:val="ListBullet"/>
      </w:pPr>
      <w:r>
        <w:t>Human-in-the-Loop Validation: All LLM outputs must be reviewed and approved by a qualified analyst before use</w:t>
      </w:r>
    </w:p>
    <w:p>
      <w:pPr>
        <w:pStyle w:val="ListBullet"/>
      </w:pPr>
      <w:r>
        <w:t>Dual Control: High-materiality fields (e.g., total capital) require secondary review by senior analyst</w:t>
      </w:r>
    </w:p>
    <w:p>
      <w:pPr>
        <w:pStyle w:val="ListBullet"/>
      </w:pPr>
      <w:r>
        <w:t>Output Confidence Scoring: LLM assigns confidence levels (high/medium/low) to each field; medium/low scores trigger mandatory review</w:t>
      </w:r>
    </w:p>
    <w:p>
      <w:pPr>
        <w:pStyle w:val="ListBullet"/>
      </w:pPr>
      <w:r>
        <w:t>Quarterly LLM Audit: Random sample of LLM outputs compared against manual analyst submissions to detect drift or systematic errors</w:t>
      </w:r>
    </w:p>
    <w:p>
      <w:pPr>
        <w:pStyle w:val="ListBullet"/>
      </w:pPr>
      <w:r>
        <w:t>Version Control: All regulatory source documents and model versions logged with timestamps</w:t>
      </w:r>
    </w:p>
    <w:p>
      <w:pPr>
        <w:pStyle w:val="Heading2"/>
      </w:pPr>
      <w:r>
        <w:t>7.2 Data Security and Confidentiality</w:t>
      </w:r>
    </w:p>
    <w:p>
      <w:pPr>
        <w:pStyle w:val="ListBullet"/>
      </w:pPr>
      <w:r>
        <w:t>No External API Calls: LLM inference runs on-premises or in bank-controlled cloud environment (no data sent to third-party APIs)</w:t>
      </w:r>
    </w:p>
    <w:p>
      <w:pPr>
        <w:pStyle w:val="ListBullet"/>
      </w:pPr>
      <w:r>
        <w:t>Access Controls: Role-based access restricts system use to authorized regulatory reporting team members</w:t>
      </w:r>
    </w:p>
    <w:p>
      <w:pPr>
        <w:pStyle w:val="ListBullet"/>
      </w:pPr>
      <w:r>
        <w:t>Audit Logging: All user queries, system outputs, and analyst decisions logged for regulatory examination</w:t>
      </w:r>
    </w:p>
    <w:p>
      <w:pPr>
        <w:pStyle w:val="ListBullet"/>
      </w:pPr>
      <w:r>
        <w:t>Data Retention: Audit logs retained per PRA record-keeping requirements (minimum 7 years)</w:t>
      </w:r>
    </w:p>
    <w:p>
      <w:pPr>
        <w:pStyle w:val="Heading2"/>
      </w:pPr>
      <w:r>
        <w:t>7.3 Escalation Process for Uncertain Interpretations</w:t>
      </w:r>
    </w:p>
    <w:p>
      <w:r>
        <w:t>When the LLM encounters ambiguous scenarios or conflicting regulatory guidance:</w:t>
      </w:r>
    </w:p>
    <w:p>
      <w:pPr>
        <w:pStyle w:val="ListNumber"/>
      </w:pPr>
      <w:r>
        <w:t>Flag for Manual Review: System marks output as "requires expert review"</w:t>
      </w:r>
    </w:p>
    <w:p>
      <w:pPr>
        <w:pStyle w:val="ListNumber"/>
      </w:pPr>
      <w:r>
        <w:t>Present Multiple Interpretations: If RAG retrieves conflicting guidance, system presents all interpretations with source citations</w:t>
      </w:r>
    </w:p>
    <w:p>
      <w:pPr>
        <w:pStyle w:val="ListNumber"/>
      </w:pPr>
      <w:r>
        <w:t>Escalate to Compliance Team: Analyst escalates to regulatory compliance or legal team for authoritative interpretation</w:t>
      </w:r>
    </w:p>
    <w:p>
      <w:pPr>
        <w:pStyle w:val="ListNumber"/>
      </w:pPr>
      <w:r>
        <w:t>Document Decision: Final interpretation recorded in audit log for future reference and consistency</w:t>
      </w:r>
    </w:p>
    <w:p>
      <w:pPr>
        <w:pStyle w:val="Heading1"/>
      </w:pPr>
      <w:r>
        <w:t>8. Implementation Roadmap</w:t>
      </w:r>
    </w:p>
    <w:p>
      <w:r>
        <w:t>A 12-week internship project timeline demonstrating feasibility and value:</w:t>
      </w:r>
    </w:p>
    <w:p>
      <w:pPr>
        <w:pStyle w:val="Heading2"/>
      </w:pPr>
      <w:r>
        <w:t>Weeks 1-2: Research and Data Collection</w:t>
      </w:r>
    </w:p>
    <w:p>
      <w:pPr>
        <w:pStyle w:val="ListBullet"/>
      </w:pPr>
      <w:r>
        <w:t>Literature review: RAG architectures for regulatory text</w:t>
      </w:r>
    </w:p>
    <w:p>
      <w:pPr>
        <w:pStyle w:val="ListBullet"/>
      </w:pPr>
      <w:r>
        <w:t>Gather PRA Rulebook, EBA instructions, CRR articles (C 01.00, C 02.00 scope)</w:t>
      </w:r>
    </w:p>
    <w:p>
      <w:pPr>
        <w:pStyle w:val="ListBullet"/>
      </w:pPr>
      <w:r>
        <w:t>Analyze existing analyst workflows and pain points via interviews</w:t>
      </w:r>
    </w:p>
    <w:p>
      <w:pPr>
        <w:pStyle w:val="ListBullet"/>
      </w:pPr>
      <w:r>
        <w:t>Define success criteria with stakeholders</w:t>
      </w:r>
    </w:p>
    <w:p>
      <w:pPr>
        <w:pStyle w:val="Heading2"/>
      </w:pPr>
      <w:r>
        <w:t>Weeks 3-4: Data Preparation and RAG Setup</w:t>
      </w:r>
    </w:p>
    <w:p>
      <w:pPr>
        <w:pStyle w:val="ListBullet"/>
      </w:pPr>
      <w:r>
        <w:t>Segment regulatory documents into semantically coherent chunks</w:t>
      </w:r>
    </w:p>
    <w:p>
      <w:pPr>
        <w:pStyle w:val="ListBullet"/>
      </w:pPr>
      <w:r>
        <w:t>Generate vector embeddings using sentence transformers</w:t>
      </w:r>
    </w:p>
    <w:p>
      <w:pPr>
        <w:pStyle w:val="ListBullet"/>
      </w:pPr>
      <w:r>
        <w:t>Build vector database (FAISS/ChromaDB) with metadata tagging</w:t>
      </w:r>
    </w:p>
    <w:p>
      <w:pPr>
        <w:pStyle w:val="ListBullet"/>
      </w:pPr>
      <w:r>
        <w:t>Test retrieval quality: precision/recall on sample analyst queries</w:t>
      </w:r>
    </w:p>
    <w:p>
      <w:pPr>
        <w:pStyle w:val="Heading2"/>
      </w:pPr>
      <w:r>
        <w:t>Weeks 5-7: LLM Integration and Schema Development</w:t>
      </w:r>
    </w:p>
    <w:p>
      <w:pPr>
        <w:pStyle w:val="ListBullet"/>
      </w:pPr>
      <w:r>
        <w:t>Define JSON schema for C 01.00 and C 02.00 templates</w:t>
      </w:r>
    </w:p>
    <w:p>
      <w:pPr>
        <w:pStyle w:val="ListBullet"/>
      </w:pPr>
      <w:r>
        <w:t>Develop prompt engineering framework for schema-constrained outputs</w:t>
      </w:r>
    </w:p>
    <w:p>
      <w:pPr>
        <w:pStyle w:val="ListBullet"/>
      </w:pPr>
      <w:r>
        <w:t>Implement LLM reasoning engine (Claude Sonnet API or open-source alternative)</w:t>
      </w:r>
    </w:p>
    <w:p>
      <w:pPr>
        <w:pStyle w:val="ListBullet"/>
      </w:pPr>
      <w:r>
        <w:t>Build validation layer: mandatory fields, arithmetic consistency checks</w:t>
      </w:r>
    </w:p>
    <w:p>
      <w:pPr>
        <w:pStyle w:val="ListBullet"/>
      </w:pPr>
      <w:r>
        <w:t>Test hallucination mitigation through iterative prompt refinement</w:t>
      </w:r>
    </w:p>
    <w:p>
      <w:pPr>
        <w:pStyle w:val="Heading2"/>
      </w:pPr>
      <w:r>
        <w:t>Weeks 8-9: User Interface and Workflow Integration</w:t>
      </w:r>
    </w:p>
    <w:p>
      <w:pPr>
        <w:pStyle w:val="ListBullet"/>
      </w:pPr>
      <w:r>
        <w:t>Develop web-based UI for query input and output visualization</w:t>
      </w:r>
    </w:p>
    <w:p>
      <w:pPr>
        <w:pStyle w:val="ListBullet"/>
      </w:pPr>
      <w:r>
        <w:t>Implement template extract generation (human-readable COREP rows)</w:t>
      </w:r>
    </w:p>
    <w:p>
      <w:pPr>
        <w:pStyle w:val="ListBullet"/>
      </w:pPr>
      <w:r>
        <w:t>Build audit log export functionality (PDF/Excel)</w:t>
      </w:r>
    </w:p>
    <w:p>
      <w:pPr>
        <w:pStyle w:val="ListBullet"/>
      </w:pPr>
      <w:r>
        <w:t>Conduct user acceptance testing with 2-3 regulatory analysts</w:t>
      </w:r>
    </w:p>
    <w:p>
      <w:pPr>
        <w:pStyle w:val="Heading2"/>
      </w:pPr>
      <w:r>
        <w:t>Weeks 10-11: Validation and Testing</w:t>
      </w:r>
    </w:p>
    <w:p>
      <w:pPr>
        <w:pStyle w:val="ListBullet"/>
      </w:pPr>
      <w:r>
        <w:t>Blind test: Compare LLM outputs against historical COREP submissions</w:t>
      </w:r>
    </w:p>
    <w:p>
      <w:pPr>
        <w:pStyle w:val="ListBullet"/>
      </w:pPr>
      <w:r>
        <w:t>Red-team testing: Attempt to trigger hallucinations or incorrect mappings</w:t>
      </w:r>
    </w:p>
    <w:p>
      <w:pPr>
        <w:pStyle w:val="ListBullet"/>
      </w:pPr>
      <w:r>
        <w:t>Performance benchmarking: Query response time, retrieval accuracy</w:t>
      </w:r>
    </w:p>
    <w:p>
      <w:pPr>
        <w:pStyle w:val="ListBullet"/>
      </w:pPr>
      <w:r>
        <w:t>Refinement based on analyst feedback</w:t>
      </w:r>
    </w:p>
    <w:p>
      <w:pPr>
        <w:pStyle w:val="Heading2"/>
      </w:pPr>
      <w:r>
        <w:t>Week 12: Documentation and Handover</w:t>
      </w:r>
    </w:p>
    <w:p>
      <w:pPr>
        <w:pStyle w:val="ListBullet"/>
      </w:pPr>
      <w:r>
        <w:t>Prepare technical documentation (architecture, API specs, maintenance guide)</w:t>
      </w:r>
    </w:p>
    <w:p>
      <w:pPr>
        <w:pStyle w:val="ListBullet"/>
      </w:pPr>
      <w:r>
        <w:t>Create user manual and training materials for analysts</w:t>
      </w:r>
    </w:p>
    <w:p>
      <w:pPr>
        <w:pStyle w:val="ListBullet"/>
      </w:pPr>
      <w:r>
        <w:t>Final presentation to stakeholders with demo and ROI analysis</w:t>
      </w:r>
    </w:p>
    <w:p>
      <w:pPr>
        <w:pStyle w:val="ListBullet"/>
      </w:pPr>
      <w:r>
        <w:t>Recommendations for production deployment and scope expansion</w:t>
      </w:r>
    </w:p>
    <w:p>
      <w:pPr>
        <w:pStyle w:val="Heading1"/>
      </w:pPr>
      <w:r>
        <w:t>9. Expected Benefits and Value Proposition</w:t>
      </w:r>
    </w:p>
    <w:p>
      <w:r>
        <w:t>While this is a proof-of-concept, the prototype aims to demonstrate quantifiable value in regulatory reporting efficiency:</w:t>
      </w:r>
    </w:p>
    <w:p>
      <w:pPr>
        <w:pStyle w:val="Heading2"/>
      </w:pPr>
      <w:r>
        <w:t>9.1 Time Savings</w:t>
      </w:r>
    </w:p>
    <w:p>
      <w:pPr>
        <w:pStyle w:val="ListBullet"/>
      </w:pPr>
      <w:r>
        <w:t>Regulatory Research: Reduce time spent searching PRA Rulebook and EBA instructions by ~40% (from ~8 hours to ~5 hours per COREP submission)</w:t>
      </w:r>
    </w:p>
    <w:p>
      <w:pPr>
        <w:pStyle w:val="ListBullet"/>
      </w:pPr>
      <w:r>
        <w:t>Template Mapping: Accelerate scenario-to-COREP row mapping by ~30% through instant retrieval of relevant instructions</w:t>
      </w:r>
    </w:p>
    <w:p>
      <w:pPr>
        <w:pStyle w:val="ListBullet"/>
      </w:pPr>
      <w:r>
        <w:t>Audit Preparation: Eliminate manual citation lookup for examiner queries via automated audit trails</w:t>
      </w:r>
    </w:p>
    <w:p>
      <w:pPr>
        <w:pStyle w:val="Heading2"/>
      </w:pPr>
      <w:r>
        <w:t>9.2 Quality Improvements</w:t>
      </w:r>
    </w:p>
    <w:p>
      <w:pPr>
        <w:pStyle w:val="ListBullet"/>
      </w:pPr>
      <w:r>
        <w:t>Consistency: Standardized regulatory citations reduce inter-analyst interpretation variance</w:t>
      </w:r>
    </w:p>
    <w:p>
      <w:pPr>
        <w:pStyle w:val="ListBullet"/>
      </w:pPr>
      <w:r>
        <w:t>Completeness: Validation layer catches missing mandatory fields before submission</w:t>
      </w:r>
    </w:p>
    <w:p>
      <w:pPr>
        <w:pStyle w:val="ListBullet"/>
      </w:pPr>
      <w:r>
        <w:t>Traceability: Audit logs provide clear documentation of reporting decisions for internal review and regulatory examination</w:t>
      </w:r>
    </w:p>
    <w:p>
      <w:pPr>
        <w:pStyle w:val="Heading2"/>
      </w:pPr>
      <w:r>
        <w:t>9.3 Risk Reduction</w:t>
      </w:r>
    </w:p>
    <w:p>
      <w:pPr>
        <w:pStyle w:val="ListBullet"/>
      </w:pPr>
      <w:r>
        <w:t>Error Prevention: Automated validation reduces manual mapping errors (e.g., misclassified capital components)</w:t>
      </w:r>
    </w:p>
    <w:p>
      <w:pPr>
        <w:pStyle w:val="ListBullet"/>
      </w:pPr>
      <w:r>
        <w:t>Regulatory Confidence: Clear audit trails demonstrate to PRA examiners that reporting decisions are grounded in up-to-date regulatory guidance</w:t>
      </w:r>
    </w:p>
    <w:p>
      <w:pPr>
        <w:pStyle w:val="ListBullet"/>
      </w:pPr>
      <w:r>
        <w:t>Knowledge Retention: System captures institutional knowledge, reducing dependency on individual analyst expertise</w:t>
      </w:r>
    </w:p>
    <w:p>
      <w:pPr>
        <w:pStyle w:val="Heading2"/>
      </w:pPr>
      <w:r>
        <w:t>9.4 Estimated ROI (Proof-of-Concept Scope)</w:t>
      </w:r>
    </w:p>
    <w:p>
      <w:r>
        <w:rPr>
          <w:b/>
        </w:rPr>
        <w:t>Assumptions:</w:t>
        <w:br/>
      </w:r>
      <w:r>
        <w:t>- Bank submits COREP quarterly (4 times/year)</w:t>
        <w:br/>
        <w:t>- 2 analysts spend 40 hours each per submission on C 01.00 and C 02.00</w:t>
        <w:br/>
        <w:t>- Average analyst hourly cost: £75/hour</w:t>
        <w:br/>
        <w:br/>
      </w:r>
      <w:r>
        <w:rPr>
          <w:b/>
        </w:rPr>
        <w:t>Time Savings:</w:t>
        <w:br/>
      </w:r>
      <w:r>
        <w:t>- 30% reduction in preparation time = 24 hours saved per submission</w:t>
        <w:br/>
        <w:t>- Annual savings: 24 hours × 4 submissions × £75/hour = £7,200</w:t>
        <w:br/>
        <w:br/>
      </w:r>
      <w:r>
        <w:rPr>
          <w:b/>
        </w:rPr>
        <w:t>Avoided Rework Costs:</w:t>
        <w:br/>
      </w:r>
      <w:r>
        <w:t>- If system prevents 1 material error requiring resubmission per year:</w:t>
        <w:br/>
        <w:t>- Rework cost (analyst time + reputational risk): ~£10,000-£50,000</w:t>
        <w:br/>
        <w:br/>
      </w:r>
      <w:r>
        <w:rPr>
          <w:b/>
        </w:rPr>
        <w:t>Total Estimated Annual Benefit: £17,000 - £57,000</w:t>
        <w:br/>
      </w:r>
      <w:r>
        <w:t>(Conservative estimate for 2-template scope; scales with additional templates)</w:t>
      </w:r>
    </w:p>
    <w:p>
      <w:pPr>
        <w:pStyle w:val="Heading1"/>
      </w:pPr>
      <w:r>
        <w:t>10. Limitations and Future Enhancements</w:t>
      </w:r>
    </w:p>
    <w:p>
      <w:pPr>
        <w:pStyle w:val="Heading2"/>
      </w:pPr>
      <w:r>
        <w:t>10.1 Current Limitations</w:t>
      </w:r>
    </w:p>
    <w:p>
      <w:pPr>
        <w:pStyle w:val="ListBullet"/>
      </w:pPr>
      <w:r>
        <w:t>Template Coverage: Prototype limited to 2 of 50+ COREP templates (C 01.00, C 02.00)</w:t>
      </w:r>
    </w:p>
    <w:p>
      <w:pPr>
        <w:pStyle w:val="ListBullet"/>
      </w:pPr>
      <w:r>
        <w:t>Regulatory Interpretation: System cannot replace professional judgment for complex or novel scenarios</w:t>
      </w:r>
    </w:p>
    <w:p>
      <w:pPr>
        <w:pStyle w:val="ListBullet"/>
      </w:pPr>
      <w:r>
        <w:t>Update Lag: Regulatory text must be manually refreshed when PRA or EBA issue updates</w:t>
      </w:r>
    </w:p>
    <w:p>
      <w:pPr>
        <w:pStyle w:val="ListBullet"/>
      </w:pPr>
      <w:r>
        <w:t>Non-Numeric Data: Prototype focuses on quantitative fields; qualitative disclosures not addressed</w:t>
      </w:r>
    </w:p>
    <w:p>
      <w:pPr>
        <w:pStyle w:val="ListBullet"/>
      </w:pPr>
      <w:r>
        <w:t>Integration: Standalone tool; does not integrate with core banking systems or data warehouses</w:t>
      </w:r>
    </w:p>
    <w:p>
      <w:pPr>
        <w:pStyle w:val="Heading2"/>
      </w:pPr>
      <w:r>
        <w:t>10.2 Future Enhancements</w:t>
      </w:r>
    </w:p>
    <w:p>
      <w:r>
        <w:rPr>
          <w:b/>
        </w:rPr>
        <w:t xml:space="preserve">Phase 2: Expand Template Coverage: </w:t>
      </w:r>
      <w:r>
        <w:t>Extend to additional COREP templates (C 04.00-C 09.00: Credit risk, Market risk, Operational risk)</w:t>
      </w:r>
    </w:p>
    <w:p>
      <w:r>
        <w:rPr>
          <w:b/>
        </w:rPr>
        <w:t xml:space="preserve">Phase 3: XBRL Validation Integration: </w:t>
      </w:r>
      <w:r>
        <w:t>Integrate with XBRL taxonomy validation to ensure outputs comply with technical submission requirements</w:t>
      </w:r>
    </w:p>
    <w:p>
      <w:r>
        <w:rPr>
          <w:b/>
        </w:rPr>
        <w:t xml:space="preserve">Phase 4: Regulatory Update Monitoring: </w:t>
      </w:r>
      <w:r>
        <w:t>Automated monitoring of PRA and EBA publications to flag when source documents are updated</w:t>
      </w:r>
    </w:p>
    <w:p>
      <w:r>
        <w:rPr>
          <w:b/>
        </w:rPr>
        <w:t xml:space="preserve">Phase 5: Data Integration: </w:t>
      </w:r>
      <w:r>
        <w:t>Connect to general ledger and risk systems to auto-populate scenario inputs, reducing manual data entry</w:t>
      </w:r>
    </w:p>
    <w:p>
      <w:r>
        <w:rPr>
          <w:b/>
        </w:rPr>
        <w:t xml:space="preserve">Phase 6: Multi-Jurisdiction Support: </w:t>
      </w:r>
      <w:r>
        <w:t>Extend to other regulatory frameworks (e.g., ECB FINREP, Fed FR Y-9C for international banks)</w:t>
      </w:r>
    </w:p>
    <w:p>
      <w:pPr>
        <w:pStyle w:val="Heading1"/>
      </w:pPr>
      <w:r>
        <w:t>11. Conclusion</w:t>
      </w:r>
    </w:p>
    <w:p>
      <w:r>
        <w:t>This prototype demonstrates how large language models can be responsibly applied to regulatory reporting challenges in a high-stakes, highly regulated environment. By focusing on a narrow scope (2 COREP templates), enforcing structured outputs, and maintaining human oversight, the system balances innovation with regulatory prudence.</w:t>
      </w:r>
    </w:p>
    <w:p>
      <w:r>
        <w:t>The proposal addresses key stakeholder concerns:</w:t>
      </w:r>
    </w:p>
    <w:p>
      <w:r>
        <w:t>For Analysts: Reduces tedious regulatory text research while preserving professional control over final submissions</w:t>
      </w:r>
    </w:p>
    <w:p>
      <w:r>
        <w:t>For Compliance Teams: Provides auditable justifications and standardized citations to demonstrate regulatory adherence</w:t>
      </w:r>
    </w:p>
    <w:p>
      <w:r>
        <w:t>For Regulators: Maintains transparency and accountability—all outputs are traceable to source regulatory guidance</w:t>
      </w:r>
    </w:p>
    <w:p>
      <w:r>
        <w:t>The proposed 12-week implementation roadmap is realistic for an internship project and provides a clear path to demonstrating value. Success would position the bank to expand the system to additional templates and regulatory domains, ultimately transforming regulatory reporting from a labor-intensive compliance burden to a data-driven, quality-controlled process.</w:t>
      </w:r>
    </w:p>
    <w:p>
      <w:r>
        <w:t>I am eager to contribute to this important challenge at the intersection of regulatory technology, AI safety, and financial services innovation.</w:t>
      </w:r>
    </w:p>
    <w:p>
      <w:pPr>
        <w:pStyle w:val="Heading1"/>
      </w:pPr>
      <w:r>
        <w:t>12. References and Appendices</w:t>
      </w:r>
    </w:p>
    <w:p>
      <w:pPr>
        <w:pStyle w:val="Heading2"/>
      </w:pPr>
      <w:r>
        <w:t>12.1 Regulatory References</w:t>
      </w:r>
    </w:p>
    <w:p>
      <w:pPr>
        <w:pStyle w:val="ListBullet"/>
      </w:pPr>
      <w:r>
        <w:t>Prudential Regulation Authority (PRA). (2024). PRA Rulebook – Own Funds. Bank of England.</w:t>
      </w:r>
    </w:p>
    <w:p>
      <w:pPr>
        <w:pStyle w:val="ListBullet"/>
      </w:pPr>
      <w:r>
        <w:t>European Banking Authority (EBA). (2024). COREP Reporting Framework – Instructions and Validation Rules.</w:t>
      </w:r>
    </w:p>
    <w:p>
      <w:pPr>
        <w:pStyle w:val="ListBullet"/>
      </w:pPr>
      <w:r>
        <w:t>European Parliament and Council. (2013). Regulation (EU) No 575/2013 (Capital Requirements Regulation).</w:t>
      </w:r>
    </w:p>
    <w:p>
      <w:pPr>
        <w:pStyle w:val="ListBullet"/>
      </w:pPr>
      <w:r>
        <w:t>PRA. (2024). Supervisory Statement SS2/13 – Prudential Reporting Returns.</w:t>
      </w:r>
    </w:p>
    <w:p>
      <w:pPr>
        <w:pStyle w:val="Heading2"/>
      </w:pPr>
      <w:r>
        <w:t>12.2 Technical References</w:t>
      </w:r>
    </w:p>
    <w:p>
      <w:pPr>
        <w:pStyle w:val="ListBullet"/>
      </w:pPr>
      <w:r>
        <w:t>Lewis, P., et al. (2020). "Retrieval-Augmented Generation for Knowledge-Intensive NLP Tasks." NeurIPS.</w:t>
      </w:r>
    </w:p>
    <w:p>
      <w:pPr>
        <w:pStyle w:val="ListBullet"/>
      </w:pPr>
      <w:r>
        <w:t>Anthropic. (2024). "Claude 4 Model Card: Safety Evaluations and Constitutional AI."</w:t>
      </w:r>
    </w:p>
    <w:p>
      <w:pPr>
        <w:pStyle w:val="ListBullet"/>
      </w:pPr>
      <w:r>
        <w:t>Reimers, N. &amp; Gurevych, I. (2019). "Sentence-BERT: Sentence Embeddings using Siamese BERT-Networks." EMNLP.</w:t>
      </w:r>
    </w:p>
    <w:p>
      <w:pPr>
        <w:pStyle w:val="ListBullet"/>
      </w:pPr>
      <w:r>
        <w:t>Johnson, J., et al. (2019). "Billion-scale similarity search with GPUs." IEEE Transactions on Big Data.</w:t>
      </w:r>
    </w:p>
    <w:p>
      <w:pPr>
        <w:pStyle w:val="Heading2"/>
      </w:pPr>
      <w:r>
        <w:t>12.3 Appendices</w:t>
      </w:r>
    </w:p>
    <w:p>
      <w:pPr>
        <w:pStyle w:val="ListBullet"/>
      </w:pPr>
      <w:r>
        <w:t>Appendix A: Detailed System Architecture Diagram</w:t>
      </w:r>
    </w:p>
    <w:p>
      <w:pPr>
        <w:pStyle w:val="ListBullet"/>
      </w:pPr>
      <w:r>
        <w:t>Appendix B: Sample JSON Schema (C 01.00 – Own Funds)</w:t>
      </w:r>
    </w:p>
    <w:p>
      <w:pPr>
        <w:pStyle w:val="ListBullet"/>
      </w:pPr>
      <w:r>
        <w:t>Appendix C: COREP Validation Rule Examples</w:t>
      </w:r>
    </w:p>
    <w:p>
      <w:pPr>
        <w:pStyle w:val="ListBullet"/>
      </w:pPr>
      <w:r>
        <w:t>Appendix D: Analyst Interview Summary – Current Pain Points</w:t>
      </w:r>
    </w:p>
    <w:p>
      <w:pPr>
        <w:pStyle w:val="ListBullet"/>
      </w:pPr>
      <w:r>
        <w:t>Appendix E: Risk Assessment Matrix – LLM Implementation Risks</w:t>
      </w:r>
    </w:p>
    <w:p/>
    <w:p>
      <w:r>
        <w:t>(Detailed appendices available upon request)</w:t>
      </w:r>
    </w:p>
    <w:p>
      <w:r>
        <w:br w:type="page"/>
      </w:r>
    </w:p>
    <w:p>
      <w:pPr>
        <w:jc w:val="center"/>
      </w:pPr>
      <w:r>
        <w:rPr>
          <w:color w:val="646464"/>
          <w:sz w:val="18"/>
        </w:rPr>
        <w:br/>
        <w:br/>
        <w:br/>
        <w:br/>
        <w:t>─────────────────────────────────────────────</w:t>
        <w:br/>
        <w:br/>
        <w:t>Prepared by: Mukesh Kumar</w:t>
        <w:br/>
        <w:t>Institution: IIT Delhi</w:t>
        <w:br/>
        <w:t>Date: February 06, 2026</w:t>
        <w:br/>
        <w:br/>
        <w:t>This proposal is submitted as part of the application process for an Internship role</w:t>
        <w:br/>
        <w:t>in Regulatory Technology / Data Analytics / AI.</w:t>
        <w:br/>
        <w:br/>
        <w:t>For questions or clarifications, please contact: [your email]</w:t>
        <w:br/>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