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2CEC4" w14:textId="77777777" w:rsidR="00D649F0" w:rsidRDefault="00D649F0" w:rsidP="00AA3929">
      <w:pPr>
        <w:pStyle w:val="Heading2"/>
      </w:pPr>
    </w:p>
    <w:p w14:paraId="7EA2E933" w14:textId="77777777" w:rsidR="00D649F0" w:rsidRDefault="00502926">
      <w:pPr>
        <w:jc w:val="center"/>
      </w:pPr>
      <w:r>
        <w:rPr>
          <w:b/>
          <w:bCs/>
          <w:color w:val="1F3864"/>
          <w:sz w:val="36"/>
          <w:szCs w:val="36"/>
        </w:rPr>
        <w:t>Experiment No. 23</w:t>
      </w:r>
    </w:p>
    <w:p w14:paraId="4AD94BFA" w14:textId="77777777" w:rsidR="00D649F0" w:rsidRDefault="00502926">
      <w:pPr>
        <w:spacing w:before="200" w:after="600"/>
        <w:jc w:val="center"/>
      </w:pPr>
      <w:r>
        <w:rPr>
          <w:b/>
          <w:bCs/>
          <w:color w:val="1F3864"/>
          <w:sz w:val="30"/>
          <w:szCs w:val="30"/>
        </w:rPr>
        <w:t>Investigation of Electromagnetic Field Distribution in Rectangular-to-Circular Waveguide Transition</w:t>
      </w:r>
    </w:p>
    <w:p w14:paraId="0D4498CE" w14:textId="3373DAC1" w:rsidR="00D649F0" w:rsidRDefault="00502926">
      <w:pPr>
        <w:spacing w:before="800"/>
        <w:jc w:val="center"/>
      </w:pPr>
      <w:r>
        <w:rPr>
          <w:sz w:val="24"/>
          <w:szCs w:val="24"/>
        </w:rPr>
        <w:t xml:space="preserve">Student Name : </w:t>
      </w:r>
      <w:r w:rsidR="00AA3929">
        <w:rPr>
          <w:sz w:val="24"/>
          <w:szCs w:val="24"/>
        </w:rPr>
        <w:t>Mukhilan. S</w:t>
      </w:r>
    </w:p>
    <w:p w14:paraId="1BA6C84B" w14:textId="49094F37" w:rsidR="00D649F0" w:rsidRDefault="00502926">
      <w:pPr>
        <w:spacing w:before="300"/>
        <w:jc w:val="center"/>
      </w:pPr>
      <w:r>
        <w:rPr>
          <w:sz w:val="24"/>
          <w:szCs w:val="24"/>
        </w:rPr>
        <w:t xml:space="preserve">Register Number : </w:t>
      </w:r>
      <w:r w:rsidR="00AA3929" w:rsidRPr="00AA3929">
        <w:rPr>
          <w:sz w:val="24"/>
          <w:szCs w:val="24"/>
        </w:rPr>
        <w:t>192512196</w:t>
      </w:r>
    </w:p>
    <w:p w14:paraId="685E9439" w14:textId="77777777" w:rsidR="00D649F0" w:rsidRDefault="00502926">
      <w:pPr>
        <w:spacing w:before="300"/>
        <w:jc w:val="center"/>
      </w:pPr>
      <w:r>
        <w:rPr>
          <w:sz w:val="24"/>
          <w:szCs w:val="24"/>
        </w:rPr>
        <w:t>Department : Electronics and Communication Engineering</w:t>
      </w:r>
    </w:p>
    <w:p w14:paraId="0F694AA4" w14:textId="77777777" w:rsidR="00D649F0" w:rsidRDefault="00502926">
      <w:pPr>
        <w:spacing w:before="300"/>
        <w:jc w:val="center"/>
      </w:pPr>
      <w:r>
        <w:rPr>
          <w:sz w:val="24"/>
          <w:szCs w:val="24"/>
        </w:rPr>
        <w:t>Subject : Engineering Electromagnetics Laboratory (ECA 5401)</w:t>
      </w:r>
    </w:p>
    <w:p w14:paraId="556139B0" w14:textId="77777777" w:rsidR="00D649F0" w:rsidRDefault="00502926">
      <w:r>
        <w:br w:type="page"/>
      </w:r>
    </w:p>
    <w:p w14:paraId="0DEEF30D" w14:textId="77777777" w:rsidR="00D649F0" w:rsidRDefault="00502926">
      <w:pPr>
        <w:pStyle w:val="Heading1"/>
        <w:spacing w:before="240" w:after="120"/>
      </w:pPr>
      <w:r>
        <w:rPr>
          <w:b/>
          <w:bCs/>
          <w:color w:val="1F3864"/>
        </w:rPr>
        <w:lastRenderedPageBreak/>
        <w:t>Aim</w:t>
      </w:r>
    </w:p>
    <w:p w14:paraId="22EEF298" w14:textId="77777777" w:rsidR="00D649F0" w:rsidRDefault="00502926">
      <w:pPr>
        <w:spacing w:after="120" w:line="276" w:lineRule="auto"/>
      </w:pPr>
      <w:r>
        <w:t>To analyze the electric and magnetic field distribution at Port 1 (rectangular side) and Port 2 (circular side) of a rectangular-to-circular waveguide transition, and measure the field parameters at each port, using CST Studio Suite.</w:t>
      </w:r>
    </w:p>
    <w:p w14:paraId="43DD85E3" w14:textId="77777777" w:rsidR="00D649F0" w:rsidRDefault="00502926">
      <w:pPr>
        <w:pStyle w:val="Heading1"/>
        <w:spacing w:before="240" w:after="120"/>
      </w:pPr>
      <w:r>
        <w:rPr>
          <w:b/>
          <w:bCs/>
          <w:color w:val="1F3864"/>
        </w:rPr>
        <w:t>Software Required</w:t>
      </w:r>
    </w:p>
    <w:p w14:paraId="2466390C" w14:textId="77777777" w:rsidR="00D649F0" w:rsidRDefault="00502926">
      <w:pPr>
        <w:spacing w:after="80"/>
      </w:pPr>
      <w:r>
        <w:t>• CST Studio Suite — not available in this environment; see note in Experiment 20</w:t>
      </w:r>
    </w:p>
    <w:p w14:paraId="00A74433" w14:textId="77777777" w:rsidR="00D649F0" w:rsidRDefault="00502926">
      <w:pPr>
        <w:pStyle w:val="Heading1"/>
        <w:spacing w:before="240" w:after="120"/>
      </w:pPr>
      <w:r>
        <w:rPr>
          <w:b/>
          <w:bCs/>
          <w:color w:val="1F3864"/>
        </w:rPr>
        <w:t>Test Case (i)</w:t>
      </w:r>
    </w:p>
    <w:p w14:paraId="2BF00CE7" w14:textId="77777777" w:rsidR="00D649F0" w:rsidRDefault="00502926">
      <w:pPr>
        <w:spacing w:before="200" w:after="100"/>
      </w:pPr>
      <w:r>
        <w:rPr>
          <w:b/>
          <w:bCs/>
          <w:color w:val="1F3864"/>
          <w:sz w:val="28"/>
          <w:szCs w:val="28"/>
        </w:rPr>
        <w:t>Electric and magnetic field distribution at Port 1 (rectangular waveguide side)</w:t>
      </w:r>
    </w:p>
    <w:p w14:paraId="332BD27C" w14:textId="77777777" w:rsidR="00D649F0" w:rsidRDefault="00502926">
      <w:pPr>
        <w:spacing w:before="200" w:after="100"/>
      </w:pPr>
      <w:r>
        <w:rPr>
          <w:b/>
          <w:bCs/>
          <w:color w:val="1F3864"/>
          <w:sz w:val="28"/>
          <w:szCs w:val="28"/>
        </w:rPr>
        <w:t>Sample Input</w:t>
      </w:r>
    </w:p>
    <w:p w14:paraId="3336B8D9" w14:textId="77777777" w:rsidR="00D649F0" w:rsidRDefault="00502926">
      <w:pPr>
        <w:spacing w:after="120" w:line="276" w:lineRule="auto"/>
      </w:pPr>
      <w:r>
        <w:rPr>
          <w:rFonts w:ascii="Courier New" w:eastAsia="Courier New" w:hAnsi="Courier New" w:cs="Courier New"/>
        </w:rPr>
        <w:t>Rectangular-to-circular waveguide transition model, Port 1 = rectangular end</w:t>
      </w:r>
    </w:p>
    <w:p w14:paraId="555E3E33" w14:textId="77777777" w:rsidR="00D649F0" w:rsidRDefault="00502926">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D649F0" w14:paraId="5705E6A6" w14:textId="77777777">
        <w:tc>
          <w:tcPr>
            <w:tcW w:w="9020" w:type="dxa"/>
            <w:shd w:val="clear" w:color="auto" w:fill="0C0C0C"/>
            <w:tcMar>
              <w:top w:w="150" w:type="dxa"/>
              <w:left w:w="150" w:type="dxa"/>
              <w:bottom w:w="150" w:type="dxa"/>
              <w:right w:w="150" w:type="dxa"/>
            </w:tcMar>
          </w:tcPr>
          <w:p w14:paraId="1B851929" w14:textId="77777777" w:rsidR="00D649F0" w:rsidRDefault="00502926">
            <w:r>
              <w:rPr>
                <w:rFonts w:ascii="Consolas" w:eastAsia="Consolas" w:hAnsi="Consolas" w:cs="Consolas"/>
                <w:color w:val="FFFFFF"/>
              </w:rPr>
              <w:t>[INSERT: CST electric field (e1) and magnetic field (h1) distribution plots at Port 1 here]</w:t>
            </w:r>
          </w:p>
          <w:p w14:paraId="5C2307F8" w14:textId="77777777" w:rsidR="00D649F0" w:rsidRDefault="00502926">
            <w:r>
              <w:rPr>
                <w:rFonts w:ascii="Consolas" w:eastAsia="Consolas" w:hAnsi="Consolas" w:cs="Consolas"/>
                <w:color w:val="FFFFFF"/>
              </w:rPr>
              <w:t>Table to fill in — Parameter | e1 (electric field) | h1 (magnetic field):</w:t>
            </w:r>
          </w:p>
          <w:p w14:paraId="46F59946" w14:textId="77777777" w:rsidR="00D649F0" w:rsidRDefault="00502926">
            <w:r>
              <w:rPr>
                <w:rFonts w:ascii="Consolas" w:eastAsia="Consolas" w:hAnsi="Consolas" w:cs="Consolas"/>
                <w:color w:val="FFFFFF"/>
              </w:rPr>
              <w:t xml:space="preserve">  Frequency, Mode type, Wave impedance, Phase constant β, Cutoff frequency, Peak Value</w:t>
            </w:r>
          </w:p>
        </w:tc>
      </w:tr>
    </w:tbl>
    <w:p w14:paraId="186E4E71" w14:textId="77777777" w:rsidR="00D649F0" w:rsidRDefault="00502926">
      <w:pPr>
        <w:spacing w:before="200" w:after="100"/>
      </w:pPr>
      <w:r>
        <w:rPr>
          <w:b/>
          <w:bCs/>
          <w:color w:val="1F3864"/>
          <w:sz w:val="28"/>
          <w:szCs w:val="28"/>
        </w:rPr>
        <w:t>Observation</w:t>
      </w:r>
    </w:p>
    <w:p w14:paraId="5AC3FA40" w14:textId="77777777" w:rsidR="00D649F0" w:rsidRDefault="00502926">
      <w:pPr>
        <w:spacing w:after="80"/>
      </w:pPr>
      <w:r>
        <w:t>• For a rectangular waveguide port operating in the dominant TE10 mode, expect the electric field to peak at the center of the broad wall and taper to zero at the side walls (a half-sine variation across the width) with the magnetic field forming closed loops in the plane of propagation — confirm this pattern in your actual CST field plot.</w:t>
      </w:r>
    </w:p>
    <w:p w14:paraId="2B6441BE" w14:textId="77777777" w:rsidR="00D649F0" w:rsidRDefault="00502926">
      <w:pPr>
        <w:pStyle w:val="Heading1"/>
        <w:spacing w:before="240" w:after="120"/>
      </w:pPr>
      <w:r>
        <w:rPr>
          <w:b/>
          <w:bCs/>
          <w:color w:val="1F3864"/>
        </w:rPr>
        <w:t>Test Case (ii)</w:t>
      </w:r>
    </w:p>
    <w:p w14:paraId="403ADD5B" w14:textId="77777777" w:rsidR="00D649F0" w:rsidRDefault="00502926">
      <w:pPr>
        <w:spacing w:before="200" w:after="100"/>
      </w:pPr>
      <w:r>
        <w:rPr>
          <w:b/>
          <w:bCs/>
          <w:color w:val="1F3864"/>
          <w:sz w:val="28"/>
          <w:szCs w:val="28"/>
        </w:rPr>
        <w:t>Electric and magnetic field distribution at Port 2 (circular waveguide side)</w:t>
      </w:r>
    </w:p>
    <w:p w14:paraId="2D4AC2E7" w14:textId="77777777" w:rsidR="00D649F0" w:rsidRDefault="00502926">
      <w:pPr>
        <w:spacing w:before="200" w:after="100"/>
      </w:pPr>
      <w:r>
        <w:rPr>
          <w:b/>
          <w:bCs/>
          <w:color w:val="1F3864"/>
          <w:sz w:val="28"/>
          <w:szCs w:val="28"/>
        </w:rPr>
        <w:t>Sample Input</w:t>
      </w:r>
    </w:p>
    <w:p w14:paraId="2823DF67" w14:textId="77777777" w:rsidR="00D649F0" w:rsidRDefault="00502926">
      <w:pPr>
        <w:spacing w:after="120" w:line="276" w:lineRule="auto"/>
      </w:pPr>
      <w:r>
        <w:rPr>
          <w:rFonts w:ascii="Courier New" w:eastAsia="Courier New" w:hAnsi="Courier New" w:cs="Courier New"/>
        </w:rPr>
        <w:t>Same transition model, Port 2 = circular end</w:t>
      </w:r>
    </w:p>
    <w:p w14:paraId="033E30D6" w14:textId="77777777" w:rsidR="00D649F0" w:rsidRDefault="00502926">
      <w:pPr>
        <w:spacing w:before="200" w:after="100"/>
      </w:pPr>
      <w:r>
        <w:rPr>
          <w:b/>
          <w:bCs/>
          <w:color w:val="1F3864"/>
          <w:sz w:val="28"/>
          <w:szCs w:val="28"/>
        </w:rPr>
        <w:t>Simulation / Design Output</w:t>
      </w:r>
    </w:p>
    <w:tbl>
      <w:tblPr>
        <w:tblW w:w="902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D649F0" w14:paraId="399D51D0" w14:textId="77777777">
        <w:tc>
          <w:tcPr>
            <w:tcW w:w="9020" w:type="dxa"/>
            <w:shd w:val="clear" w:color="auto" w:fill="0C0C0C"/>
            <w:tcMar>
              <w:top w:w="150" w:type="dxa"/>
              <w:left w:w="150" w:type="dxa"/>
              <w:bottom w:w="150" w:type="dxa"/>
              <w:right w:w="150" w:type="dxa"/>
            </w:tcMar>
          </w:tcPr>
          <w:p w14:paraId="03E440FC" w14:textId="77777777" w:rsidR="00D649F0" w:rsidRDefault="00502926">
            <w:r>
              <w:rPr>
                <w:rFonts w:ascii="Consolas" w:eastAsia="Consolas" w:hAnsi="Consolas" w:cs="Consolas"/>
                <w:color w:val="FFFFFF"/>
              </w:rPr>
              <w:t>[INSERT: CST electric field (e2) and magnetic field (h2) distribution plots at Port 2 here]</w:t>
            </w:r>
          </w:p>
          <w:p w14:paraId="669DC2B6" w14:textId="77777777" w:rsidR="00D649F0" w:rsidRDefault="00502926">
            <w:r>
              <w:rPr>
                <w:rFonts w:ascii="Consolas" w:eastAsia="Consolas" w:hAnsi="Consolas" w:cs="Consolas"/>
                <w:color w:val="FFFFFF"/>
              </w:rPr>
              <w:t>Table to fill in — Parameter | e2 (electric field) | h2 (magnetic field):</w:t>
            </w:r>
          </w:p>
          <w:p w14:paraId="4D43B5AB" w14:textId="77777777" w:rsidR="00D649F0" w:rsidRDefault="00502926">
            <w:r>
              <w:rPr>
                <w:rFonts w:ascii="Consolas" w:eastAsia="Consolas" w:hAnsi="Consolas" w:cs="Consolas"/>
                <w:color w:val="FFFFFF"/>
              </w:rPr>
              <w:t xml:space="preserve">  Frequency, Mode type, Wave impedance, Phase constant β, Cutoff frequency, Peak Value</w:t>
            </w:r>
          </w:p>
        </w:tc>
      </w:tr>
    </w:tbl>
    <w:p w14:paraId="63587998" w14:textId="77777777" w:rsidR="00D649F0" w:rsidRDefault="00502926">
      <w:pPr>
        <w:spacing w:before="200" w:after="100"/>
      </w:pPr>
      <w:r>
        <w:rPr>
          <w:b/>
          <w:bCs/>
          <w:color w:val="1F3864"/>
          <w:sz w:val="28"/>
          <w:szCs w:val="28"/>
        </w:rPr>
        <w:t>Observation</w:t>
      </w:r>
    </w:p>
    <w:p w14:paraId="543D9EAC" w14:textId="77777777" w:rsidR="00D649F0" w:rsidRDefault="00502926">
      <w:pPr>
        <w:spacing w:after="80"/>
      </w:pPr>
      <w:r>
        <w:t xml:space="preserve">• The dominant circular-waveguide mode (typically TE11) has a field pattern that differs structurally from the rectangular TE10 mode — expect the transition to gradually reshape the field pattern from the rectangular to the </w:t>
      </w:r>
      <w:r>
        <w:lastRenderedPageBreak/>
        <w:t>circular mode profile; the mode type and cutoff frequency reported at Port 2 should reflect the circular guide's dimensions, not the rectangular guide's.</w:t>
      </w:r>
    </w:p>
    <w:p w14:paraId="5AFD203F" w14:textId="77777777" w:rsidR="00D649F0" w:rsidRDefault="00502926">
      <w:pPr>
        <w:pStyle w:val="Heading1"/>
        <w:spacing w:before="240" w:after="120"/>
      </w:pPr>
      <w:r>
        <w:rPr>
          <w:b/>
          <w:bCs/>
          <w:color w:val="1F3864"/>
        </w:rPr>
        <w:t>Results and Observation Table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255"/>
        <w:gridCol w:w="2255"/>
        <w:gridCol w:w="2255"/>
      </w:tblGrid>
      <w:tr w:rsidR="00D649F0" w14:paraId="23E5F137" w14:textId="77777777">
        <w:tc>
          <w:tcPr>
            <w:tcW w:w="2255" w:type="dxa"/>
            <w:shd w:val="clear" w:color="auto" w:fill="1F3864"/>
            <w:tcMar>
              <w:top w:w="100" w:type="dxa"/>
              <w:left w:w="100" w:type="dxa"/>
              <w:bottom w:w="100" w:type="dxa"/>
              <w:right w:w="100" w:type="dxa"/>
            </w:tcMar>
            <w:vAlign w:val="center"/>
          </w:tcPr>
          <w:p w14:paraId="3BCB0314" w14:textId="77777777" w:rsidR="00D649F0" w:rsidRDefault="00502926">
            <w:pPr>
              <w:jc w:val="center"/>
            </w:pPr>
            <w:r>
              <w:rPr>
                <w:b/>
                <w:bCs/>
                <w:color w:val="FFFFFF"/>
                <w:sz w:val="18"/>
                <w:szCs w:val="18"/>
              </w:rPr>
              <w:t>Port</w:t>
            </w:r>
          </w:p>
        </w:tc>
        <w:tc>
          <w:tcPr>
            <w:tcW w:w="2255" w:type="dxa"/>
            <w:shd w:val="clear" w:color="auto" w:fill="1F3864"/>
            <w:tcMar>
              <w:top w:w="100" w:type="dxa"/>
              <w:left w:w="100" w:type="dxa"/>
              <w:bottom w:w="100" w:type="dxa"/>
              <w:right w:w="100" w:type="dxa"/>
            </w:tcMar>
            <w:vAlign w:val="center"/>
          </w:tcPr>
          <w:p w14:paraId="7641E935" w14:textId="77777777" w:rsidR="00D649F0" w:rsidRDefault="00502926">
            <w:pPr>
              <w:jc w:val="center"/>
            </w:pPr>
            <w:r>
              <w:rPr>
                <w:b/>
                <w:bCs/>
                <w:color w:val="FFFFFF"/>
                <w:sz w:val="18"/>
                <w:szCs w:val="18"/>
              </w:rPr>
              <w:t>Guide Type</w:t>
            </w:r>
          </w:p>
        </w:tc>
        <w:tc>
          <w:tcPr>
            <w:tcW w:w="2255" w:type="dxa"/>
            <w:shd w:val="clear" w:color="auto" w:fill="1F3864"/>
            <w:tcMar>
              <w:top w:w="100" w:type="dxa"/>
              <w:left w:w="100" w:type="dxa"/>
              <w:bottom w:w="100" w:type="dxa"/>
              <w:right w:w="100" w:type="dxa"/>
            </w:tcMar>
            <w:vAlign w:val="center"/>
          </w:tcPr>
          <w:p w14:paraId="599C9961" w14:textId="77777777" w:rsidR="00D649F0" w:rsidRDefault="00502926">
            <w:pPr>
              <w:jc w:val="center"/>
            </w:pPr>
            <w:r>
              <w:rPr>
                <w:b/>
                <w:bCs/>
                <w:color w:val="FFFFFF"/>
                <w:sz w:val="18"/>
                <w:szCs w:val="18"/>
              </w:rPr>
              <w:t>Expected Dominant Mode</w:t>
            </w:r>
          </w:p>
        </w:tc>
        <w:tc>
          <w:tcPr>
            <w:tcW w:w="2255" w:type="dxa"/>
            <w:shd w:val="clear" w:color="auto" w:fill="1F3864"/>
            <w:tcMar>
              <w:top w:w="100" w:type="dxa"/>
              <w:left w:w="100" w:type="dxa"/>
              <w:bottom w:w="100" w:type="dxa"/>
              <w:right w:w="100" w:type="dxa"/>
            </w:tcMar>
            <w:vAlign w:val="center"/>
          </w:tcPr>
          <w:p w14:paraId="67B4F348" w14:textId="77777777" w:rsidR="00D649F0" w:rsidRDefault="00502926">
            <w:pPr>
              <w:jc w:val="center"/>
            </w:pPr>
            <w:r>
              <w:rPr>
                <w:b/>
                <w:bCs/>
                <w:color w:val="FFFFFF"/>
                <w:sz w:val="18"/>
                <w:szCs w:val="18"/>
              </w:rPr>
              <w:t>Notes</w:t>
            </w:r>
          </w:p>
        </w:tc>
      </w:tr>
      <w:tr w:rsidR="00D649F0" w14:paraId="63437850" w14:textId="77777777">
        <w:tc>
          <w:tcPr>
            <w:tcW w:w="2255" w:type="dxa"/>
            <w:tcMar>
              <w:top w:w="100" w:type="dxa"/>
              <w:left w:w="100" w:type="dxa"/>
              <w:bottom w:w="100" w:type="dxa"/>
              <w:right w:w="100" w:type="dxa"/>
            </w:tcMar>
            <w:vAlign w:val="center"/>
          </w:tcPr>
          <w:p w14:paraId="47639F93" w14:textId="77777777" w:rsidR="00D649F0" w:rsidRDefault="00502926">
            <w:pPr>
              <w:jc w:val="center"/>
            </w:pPr>
            <w:r>
              <w:rPr>
                <w:color w:val="000000"/>
                <w:sz w:val="18"/>
                <w:szCs w:val="18"/>
              </w:rPr>
              <w:t>Port 1</w:t>
            </w:r>
          </w:p>
        </w:tc>
        <w:tc>
          <w:tcPr>
            <w:tcW w:w="2255" w:type="dxa"/>
            <w:tcMar>
              <w:top w:w="100" w:type="dxa"/>
              <w:left w:w="100" w:type="dxa"/>
              <w:bottom w:w="100" w:type="dxa"/>
              <w:right w:w="100" w:type="dxa"/>
            </w:tcMar>
            <w:vAlign w:val="center"/>
          </w:tcPr>
          <w:p w14:paraId="53EDA703" w14:textId="77777777" w:rsidR="00D649F0" w:rsidRDefault="00502926">
            <w:pPr>
              <w:jc w:val="center"/>
            </w:pPr>
            <w:r>
              <w:rPr>
                <w:color w:val="000000"/>
                <w:sz w:val="18"/>
                <w:szCs w:val="18"/>
              </w:rPr>
              <w:t>Rectangular</w:t>
            </w:r>
          </w:p>
        </w:tc>
        <w:tc>
          <w:tcPr>
            <w:tcW w:w="2255" w:type="dxa"/>
            <w:tcMar>
              <w:top w:w="100" w:type="dxa"/>
              <w:left w:w="100" w:type="dxa"/>
              <w:bottom w:w="100" w:type="dxa"/>
              <w:right w:w="100" w:type="dxa"/>
            </w:tcMar>
            <w:vAlign w:val="center"/>
          </w:tcPr>
          <w:p w14:paraId="5F2D0B69" w14:textId="77777777" w:rsidR="00D649F0" w:rsidRDefault="00502926">
            <w:pPr>
              <w:jc w:val="center"/>
            </w:pPr>
            <w:r>
              <w:rPr>
                <w:color w:val="000000"/>
                <w:sz w:val="18"/>
                <w:szCs w:val="18"/>
              </w:rPr>
              <w:t>TE10 (typical)</w:t>
            </w:r>
          </w:p>
        </w:tc>
        <w:tc>
          <w:tcPr>
            <w:tcW w:w="2255" w:type="dxa"/>
            <w:tcMar>
              <w:top w:w="100" w:type="dxa"/>
              <w:left w:w="100" w:type="dxa"/>
              <w:bottom w:w="100" w:type="dxa"/>
              <w:right w:w="100" w:type="dxa"/>
            </w:tcMar>
            <w:vAlign w:val="center"/>
          </w:tcPr>
          <w:p w14:paraId="5E1B9582" w14:textId="77777777" w:rsidR="00D649F0" w:rsidRDefault="00502926">
            <w:pPr>
              <w:jc w:val="center"/>
            </w:pPr>
            <w:r>
              <w:rPr>
                <w:color w:val="000000"/>
                <w:sz w:val="18"/>
                <w:szCs w:val="18"/>
              </w:rPr>
              <w:t>Fields, impedance, cutoff — to fill in from CST</w:t>
            </w:r>
          </w:p>
        </w:tc>
      </w:tr>
      <w:tr w:rsidR="00D649F0" w14:paraId="5A1455C0" w14:textId="77777777">
        <w:tc>
          <w:tcPr>
            <w:tcW w:w="2255" w:type="dxa"/>
            <w:tcMar>
              <w:top w:w="100" w:type="dxa"/>
              <w:left w:w="100" w:type="dxa"/>
              <w:bottom w:w="100" w:type="dxa"/>
              <w:right w:w="100" w:type="dxa"/>
            </w:tcMar>
            <w:vAlign w:val="center"/>
          </w:tcPr>
          <w:p w14:paraId="2E6B77F8" w14:textId="77777777" w:rsidR="00D649F0" w:rsidRDefault="00502926">
            <w:pPr>
              <w:jc w:val="center"/>
            </w:pPr>
            <w:r>
              <w:rPr>
                <w:color w:val="000000"/>
                <w:sz w:val="18"/>
                <w:szCs w:val="18"/>
              </w:rPr>
              <w:t>Port 2</w:t>
            </w:r>
          </w:p>
        </w:tc>
        <w:tc>
          <w:tcPr>
            <w:tcW w:w="2255" w:type="dxa"/>
            <w:tcMar>
              <w:top w:w="100" w:type="dxa"/>
              <w:left w:w="100" w:type="dxa"/>
              <w:bottom w:w="100" w:type="dxa"/>
              <w:right w:w="100" w:type="dxa"/>
            </w:tcMar>
            <w:vAlign w:val="center"/>
          </w:tcPr>
          <w:p w14:paraId="6BE635F0" w14:textId="77777777" w:rsidR="00D649F0" w:rsidRDefault="00502926">
            <w:pPr>
              <w:jc w:val="center"/>
            </w:pPr>
            <w:r>
              <w:rPr>
                <w:color w:val="000000"/>
                <w:sz w:val="18"/>
                <w:szCs w:val="18"/>
              </w:rPr>
              <w:t>Circular</w:t>
            </w:r>
          </w:p>
        </w:tc>
        <w:tc>
          <w:tcPr>
            <w:tcW w:w="2255" w:type="dxa"/>
            <w:tcMar>
              <w:top w:w="100" w:type="dxa"/>
              <w:left w:w="100" w:type="dxa"/>
              <w:bottom w:w="100" w:type="dxa"/>
              <w:right w:w="100" w:type="dxa"/>
            </w:tcMar>
            <w:vAlign w:val="center"/>
          </w:tcPr>
          <w:p w14:paraId="79B03803" w14:textId="77777777" w:rsidR="00D649F0" w:rsidRDefault="00502926">
            <w:pPr>
              <w:jc w:val="center"/>
            </w:pPr>
            <w:r>
              <w:rPr>
                <w:color w:val="000000"/>
                <w:sz w:val="18"/>
                <w:szCs w:val="18"/>
              </w:rPr>
              <w:t>TE11 (typical)</w:t>
            </w:r>
          </w:p>
        </w:tc>
        <w:tc>
          <w:tcPr>
            <w:tcW w:w="2255" w:type="dxa"/>
            <w:tcMar>
              <w:top w:w="100" w:type="dxa"/>
              <w:left w:w="100" w:type="dxa"/>
              <w:bottom w:w="100" w:type="dxa"/>
              <w:right w:w="100" w:type="dxa"/>
            </w:tcMar>
            <w:vAlign w:val="center"/>
          </w:tcPr>
          <w:p w14:paraId="7861C6CB" w14:textId="77777777" w:rsidR="00D649F0" w:rsidRDefault="00502926">
            <w:pPr>
              <w:jc w:val="center"/>
            </w:pPr>
            <w:r>
              <w:rPr>
                <w:color w:val="000000"/>
                <w:sz w:val="18"/>
                <w:szCs w:val="18"/>
              </w:rPr>
              <w:t>Fields, impedance, cutoff — to fill in from CST</w:t>
            </w:r>
          </w:p>
        </w:tc>
      </w:tr>
    </w:tbl>
    <w:p w14:paraId="592A9844" w14:textId="77777777" w:rsidR="00D649F0" w:rsidRDefault="00502926">
      <w:pPr>
        <w:spacing w:before="200"/>
      </w:pPr>
      <w:r>
        <w:rPr>
          <w:i/>
          <w:iCs/>
        </w:rPr>
        <w:t>No field values or plots were fabricated; the mode types listed are typical expectations for this class of transition, not measured results. All CST-specific data are placeholders.</w:t>
      </w:r>
    </w:p>
    <w:p w14:paraId="522049A9" w14:textId="77777777" w:rsidR="00D649F0" w:rsidRDefault="00502926">
      <w:pPr>
        <w:pStyle w:val="Heading1"/>
        <w:spacing w:before="240" w:after="120"/>
      </w:pPr>
      <w:r>
        <w:rPr>
          <w:b/>
          <w:bCs/>
          <w:color w:val="1F3864"/>
        </w:rPr>
        <w:t>Result</w:t>
      </w:r>
    </w:p>
    <w:p w14:paraId="3BB6B3E2" w14:textId="77777777" w:rsidR="00D649F0" w:rsidRDefault="00502926">
      <w:pPr>
        <w:spacing w:after="120" w:line="276" w:lineRule="auto"/>
      </w:pPr>
      <w:r>
        <w:t>Expected field behavior and procedure are documented above. The actual CST Studio Suite simulation (field distribution and parameters at both ports) still needs to be run and the results inserted before submission.</w:t>
      </w:r>
    </w:p>
    <w:sectPr w:rsidR="00D649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B60969"/>
    <w:multiLevelType w:val="hybridMultilevel"/>
    <w:tmpl w:val="4120C46E"/>
    <w:lvl w:ilvl="0" w:tplc="60F2BF48">
      <w:start w:val="1"/>
      <w:numFmt w:val="bullet"/>
      <w:lvlText w:val="●"/>
      <w:lvlJc w:val="left"/>
      <w:pPr>
        <w:ind w:left="720" w:hanging="360"/>
      </w:pPr>
    </w:lvl>
    <w:lvl w:ilvl="1" w:tplc="CEFE9FC8">
      <w:start w:val="1"/>
      <w:numFmt w:val="bullet"/>
      <w:lvlText w:val="○"/>
      <w:lvlJc w:val="left"/>
      <w:pPr>
        <w:ind w:left="1440" w:hanging="360"/>
      </w:pPr>
    </w:lvl>
    <w:lvl w:ilvl="2" w:tplc="4C62CB30">
      <w:start w:val="1"/>
      <w:numFmt w:val="bullet"/>
      <w:lvlText w:val="■"/>
      <w:lvlJc w:val="left"/>
      <w:pPr>
        <w:ind w:left="2160" w:hanging="360"/>
      </w:pPr>
    </w:lvl>
    <w:lvl w:ilvl="3" w:tplc="7FD6CC0C">
      <w:start w:val="1"/>
      <w:numFmt w:val="bullet"/>
      <w:lvlText w:val="●"/>
      <w:lvlJc w:val="left"/>
      <w:pPr>
        <w:ind w:left="2880" w:hanging="360"/>
      </w:pPr>
    </w:lvl>
    <w:lvl w:ilvl="4" w:tplc="5BD098DC">
      <w:start w:val="1"/>
      <w:numFmt w:val="bullet"/>
      <w:lvlText w:val="○"/>
      <w:lvlJc w:val="left"/>
      <w:pPr>
        <w:ind w:left="3600" w:hanging="360"/>
      </w:pPr>
    </w:lvl>
    <w:lvl w:ilvl="5" w:tplc="9D0EA534">
      <w:start w:val="1"/>
      <w:numFmt w:val="bullet"/>
      <w:lvlText w:val="■"/>
      <w:lvlJc w:val="left"/>
      <w:pPr>
        <w:ind w:left="4320" w:hanging="360"/>
      </w:pPr>
    </w:lvl>
    <w:lvl w:ilvl="6" w:tplc="3C5AB4BE">
      <w:start w:val="1"/>
      <w:numFmt w:val="bullet"/>
      <w:lvlText w:val="●"/>
      <w:lvlJc w:val="left"/>
      <w:pPr>
        <w:ind w:left="5040" w:hanging="360"/>
      </w:pPr>
    </w:lvl>
    <w:lvl w:ilvl="7" w:tplc="697E8D36">
      <w:start w:val="1"/>
      <w:numFmt w:val="bullet"/>
      <w:lvlText w:val="●"/>
      <w:lvlJc w:val="left"/>
      <w:pPr>
        <w:ind w:left="5760" w:hanging="360"/>
      </w:pPr>
    </w:lvl>
    <w:lvl w:ilvl="8" w:tplc="F43680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F0"/>
    <w:rsid w:val="00502926"/>
    <w:rsid w:val="00AA3929"/>
    <w:rsid w:val="00D64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57AB"/>
  <w15:docId w15:val="{78C15C47-E408-4174-9B18-4ED43DDD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Mukhilan Subramanian</cp:lastModifiedBy>
  <cp:revision>3</cp:revision>
  <dcterms:created xsi:type="dcterms:W3CDTF">2026-08-19T09:11:00Z</dcterms:created>
  <dcterms:modified xsi:type="dcterms:W3CDTF">2026-09-09T16:37:00Z</dcterms:modified>
</cp:coreProperties>
</file>