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F0E877" w14:textId="77777777" w:rsidR="00DE5A0F" w:rsidRDefault="00DE5A0F">
      <w:pPr>
        <w:spacing w:before="1800"/>
      </w:pPr>
    </w:p>
    <w:p w14:paraId="2D130C80" w14:textId="77777777" w:rsidR="00DE5A0F" w:rsidRDefault="00877BB3">
      <w:pPr>
        <w:jc w:val="center"/>
      </w:pPr>
      <w:r>
        <w:rPr>
          <w:b/>
          <w:bCs/>
          <w:color w:val="1F3864"/>
          <w:sz w:val="36"/>
          <w:szCs w:val="36"/>
        </w:rPr>
        <w:t>Experiment No. 24</w:t>
      </w:r>
    </w:p>
    <w:p w14:paraId="4ED35A39" w14:textId="77777777" w:rsidR="00DE5A0F" w:rsidRDefault="00877BB3">
      <w:pPr>
        <w:spacing w:before="200" w:after="600"/>
        <w:jc w:val="center"/>
      </w:pPr>
      <w:r>
        <w:rPr>
          <w:b/>
          <w:bCs/>
          <w:color w:val="1F3864"/>
          <w:sz w:val="30"/>
          <w:szCs w:val="30"/>
        </w:rPr>
        <w:t>Electromagnetic Field and Power Distribution Analysis of a Circular Resonator in CST Studio Suite</w:t>
      </w:r>
    </w:p>
    <w:p w14:paraId="1D3920BD" w14:textId="5EA2AF70" w:rsidR="00DE5A0F" w:rsidRDefault="00877BB3">
      <w:pPr>
        <w:spacing w:before="800"/>
        <w:jc w:val="center"/>
      </w:pPr>
      <w:r>
        <w:rPr>
          <w:sz w:val="24"/>
          <w:szCs w:val="24"/>
        </w:rPr>
        <w:t>Student Name :</w:t>
      </w:r>
      <w:r w:rsidR="006E0162">
        <w:rPr>
          <w:sz w:val="24"/>
          <w:szCs w:val="24"/>
        </w:rPr>
        <w:t xml:space="preserve"> Mukhilan. S</w:t>
      </w:r>
      <w:r>
        <w:rPr>
          <w:sz w:val="24"/>
          <w:szCs w:val="24"/>
        </w:rPr>
        <w:t xml:space="preserve"> </w:t>
      </w:r>
    </w:p>
    <w:p w14:paraId="33A9B8F2" w14:textId="5D5A3ACC" w:rsidR="00DE5A0F" w:rsidRDefault="00877BB3">
      <w:pPr>
        <w:spacing w:before="300"/>
        <w:jc w:val="center"/>
      </w:pPr>
      <w:r>
        <w:rPr>
          <w:sz w:val="24"/>
          <w:szCs w:val="24"/>
        </w:rPr>
        <w:t xml:space="preserve">Register Number : </w:t>
      </w:r>
      <w:r w:rsidR="006E0162" w:rsidRPr="006E0162">
        <w:rPr>
          <w:sz w:val="24"/>
          <w:szCs w:val="24"/>
        </w:rPr>
        <w:t>192512196</w:t>
      </w:r>
    </w:p>
    <w:p w14:paraId="1128DDEE" w14:textId="77777777" w:rsidR="00DE5A0F" w:rsidRDefault="00877BB3">
      <w:pPr>
        <w:spacing w:before="300"/>
        <w:jc w:val="center"/>
      </w:pPr>
      <w:r>
        <w:rPr>
          <w:sz w:val="24"/>
          <w:szCs w:val="24"/>
        </w:rPr>
        <w:t>Department : Electronics and Communication Engineering</w:t>
      </w:r>
    </w:p>
    <w:p w14:paraId="67D6A7E9" w14:textId="77777777" w:rsidR="00DE5A0F" w:rsidRDefault="00877BB3">
      <w:pPr>
        <w:spacing w:before="300"/>
        <w:jc w:val="center"/>
      </w:pPr>
      <w:r>
        <w:rPr>
          <w:sz w:val="24"/>
          <w:szCs w:val="24"/>
        </w:rPr>
        <w:t>Subject : Engineering Electromagnetics Laboratory (ECA 54)</w:t>
      </w:r>
    </w:p>
    <w:p w14:paraId="30F4752E" w14:textId="77777777" w:rsidR="00DE5A0F" w:rsidRDefault="00877BB3">
      <w:r>
        <w:br w:type="page"/>
      </w:r>
    </w:p>
    <w:p w14:paraId="2D402FE4" w14:textId="77777777" w:rsidR="00DE5A0F" w:rsidRDefault="00877BB3">
      <w:pPr>
        <w:pStyle w:val="Heading1"/>
        <w:spacing w:before="240" w:after="120"/>
      </w:pPr>
      <w:r>
        <w:rPr>
          <w:b/>
          <w:bCs/>
          <w:color w:val="1F3864"/>
        </w:rPr>
        <w:lastRenderedPageBreak/>
        <w:t>Aim</w:t>
      </w:r>
    </w:p>
    <w:p w14:paraId="127A10ED" w14:textId="77777777" w:rsidR="00DE5A0F" w:rsidRDefault="00877BB3">
      <w:pPr>
        <w:spacing w:after="120" w:line="276" w:lineRule="auto"/>
      </w:pPr>
      <w:r>
        <w:t>To analyze the electric and magnetic field distribution at Port 1 and Port 2 of a circular resonator, and measure the field parameters at each port, using CST Studio Suite.</w:t>
      </w:r>
    </w:p>
    <w:p w14:paraId="6FE8186E" w14:textId="77777777" w:rsidR="00DE5A0F" w:rsidRDefault="00877BB3">
      <w:pPr>
        <w:pStyle w:val="Heading1"/>
        <w:spacing w:before="240" w:after="120"/>
      </w:pPr>
      <w:r>
        <w:rPr>
          <w:b/>
          <w:bCs/>
          <w:color w:val="1F3864"/>
        </w:rPr>
        <w:t>Software Required</w:t>
      </w:r>
    </w:p>
    <w:p w14:paraId="35FE26FA" w14:textId="77777777" w:rsidR="00DE5A0F" w:rsidRDefault="00877BB3">
      <w:pPr>
        <w:spacing w:after="80"/>
      </w:pPr>
      <w:r>
        <w:t>• CST Studio Suite — not available in this environment; see note in Experiment 20</w:t>
      </w:r>
    </w:p>
    <w:p w14:paraId="722A17C3" w14:textId="77777777" w:rsidR="00DE5A0F" w:rsidRDefault="00877BB3">
      <w:pPr>
        <w:pStyle w:val="Heading1"/>
        <w:spacing w:before="240" w:after="120"/>
      </w:pPr>
      <w:r>
        <w:rPr>
          <w:b/>
          <w:bCs/>
          <w:color w:val="1F3864"/>
        </w:rPr>
        <w:t>Test Case (i)</w:t>
      </w:r>
    </w:p>
    <w:p w14:paraId="53DE96F7" w14:textId="77777777" w:rsidR="00DE5A0F" w:rsidRDefault="00877BB3">
      <w:pPr>
        <w:spacing w:before="200" w:after="100"/>
      </w:pPr>
      <w:r>
        <w:rPr>
          <w:b/>
          <w:bCs/>
          <w:color w:val="1F3864"/>
          <w:sz w:val="28"/>
          <w:szCs w:val="28"/>
        </w:rPr>
        <w:t>Electric and magnetic field distribution at Port 1</w:t>
      </w:r>
    </w:p>
    <w:p w14:paraId="1D5256C7" w14:textId="77777777" w:rsidR="00DE5A0F" w:rsidRDefault="00877BB3">
      <w:pPr>
        <w:spacing w:before="200" w:after="100"/>
      </w:pPr>
      <w:r>
        <w:rPr>
          <w:b/>
          <w:bCs/>
          <w:color w:val="1F3864"/>
          <w:sz w:val="28"/>
          <w:szCs w:val="28"/>
        </w:rPr>
        <w:t>Sample Input</w:t>
      </w:r>
    </w:p>
    <w:p w14:paraId="7AD7C9FC" w14:textId="77777777" w:rsidR="00DE5A0F" w:rsidRDefault="00877BB3">
      <w:pPr>
        <w:spacing w:after="120" w:line="276" w:lineRule="auto"/>
      </w:pPr>
      <w:r>
        <w:rPr>
          <w:rFonts w:ascii="Courier New" w:eastAsia="Courier New" w:hAnsi="Courier New" w:cs="Courier New"/>
        </w:rPr>
        <w:t>Circular resonator model, two ports defined</w:t>
      </w:r>
    </w:p>
    <w:p w14:paraId="436CC381" w14:textId="77777777" w:rsidR="00DE5A0F" w:rsidRDefault="00877BB3">
      <w:pPr>
        <w:spacing w:before="200" w:after="100"/>
      </w:pPr>
      <w:r>
        <w:rPr>
          <w:b/>
          <w:bCs/>
          <w:color w:val="1F3864"/>
          <w:sz w:val="28"/>
          <w:szCs w:val="28"/>
        </w:rPr>
        <w:t>Simulation / Design Output</w:t>
      </w:r>
    </w:p>
    <w:tbl>
      <w:tblPr>
        <w:tblW w:w="902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0"/>
      </w:tblGrid>
      <w:tr w:rsidR="00DE5A0F" w14:paraId="1C3ADFE6" w14:textId="77777777">
        <w:tc>
          <w:tcPr>
            <w:tcW w:w="9020" w:type="dxa"/>
            <w:shd w:val="clear" w:color="auto" w:fill="0C0C0C"/>
            <w:tcMar>
              <w:top w:w="150" w:type="dxa"/>
              <w:left w:w="150" w:type="dxa"/>
              <w:bottom w:w="150" w:type="dxa"/>
              <w:right w:w="150" w:type="dxa"/>
            </w:tcMar>
          </w:tcPr>
          <w:p w14:paraId="3E95088D" w14:textId="77777777" w:rsidR="00DE5A0F" w:rsidRDefault="00877BB3">
            <w:r>
              <w:rPr>
                <w:rFonts w:ascii="Consolas" w:eastAsia="Consolas" w:hAnsi="Consolas" w:cs="Consolas"/>
                <w:color w:val="FFFFFF"/>
              </w:rPr>
              <w:t>[INSERT: CST electric field (e1) and magnetic field (h1) distribution plots at Port 1 here]</w:t>
            </w:r>
          </w:p>
          <w:p w14:paraId="7675D725" w14:textId="77777777" w:rsidR="00DE5A0F" w:rsidRDefault="00877BB3">
            <w:r>
              <w:rPr>
                <w:rFonts w:ascii="Consolas" w:eastAsia="Consolas" w:hAnsi="Consolas" w:cs="Consolas"/>
                <w:color w:val="FFFFFF"/>
              </w:rPr>
              <w:t>Table to fill in — Parameter | e1 (electric field) | h1 (magnetic field):</w:t>
            </w:r>
          </w:p>
          <w:p w14:paraId="21CBA30D" w14:textId="77777777" w:rsidR="00DE5A0F" w:rsidRDefault="00877BB3">
            <w:r>
              <w:rPr>
                <w:rFonts w:ascii="Consolas" w:eastAsia="Consolas" w:hAnsi="Consolas" w:cs="Consolas"/>
                <w:color w:val="FFFFFF"/>
              </w:rPr>
              <w:t xml:space="preserve">  Frequency, Mode type, Wave impedance, Line impedance, Phase constant β, Peak Value</w:t>
            </w:r>
          </w:p>
        </w:tc>
      </w:tr>
    </w:tbl>
    <w:p w14:paraId="19AC3A8C" w14:textId="77777777" w:rsidR="00DE5A0F" w:rsidRDefault="00877BB3">
      <w:pPr>
        <w:spacing w:before="200" w:after="100"/>
      </w:pPr>
      <w:r>
        <w:rPr>
          <w:b/>
          <w:bCs/>
          <w:color w:val="1F3864"/>
          <w:sz w:val="28"/>
          <w:szCs w:val="28"/>
        </w:rPr>
        <w:t>Observation</w:t>
      </w:r>
    </w:p>
    <w:p w14:paraId="7F4EC4FA" w14:textId="77777777" w:rsidR="00DE5A0F" w:rsidRDefault="00877BB3">
      <w:pPr>
        <w:spacing w:after="80"/>
      </w:pPr>
      <w:r>
        <w:t>• For a circular resonator, the field pattern at each port depends on the excited resonant mode (e.g. TM010, TE111, etc.) — the specific mode, its resonant frequency, and field profile all need to be read directly from the CST eigenmode/frequency-domain solver results; confirm these against your actual simulation.</w:t>
      </w:r>
    </w:p>
    <w:p w14:paraId="0BE7ACE6" w14:textId="77777777" w:rsidR="00DE5A0F" w:rsidRDefault="00877BB3">
      <w:pPr>
        <w:pStyle w:val="Heading1"/>
        <w:spacing w:before="240" w:after="120"/>
      </w:pPr>
      <w:r>
        <w:rPr>
          <w:b/>
          <w:bCs/>
          <w:color w:val="1F3864"/>
        </w:rPr>
        <w:t>Test Case (ii)</w:t>
      </w:r>
    </w:p>
    <w:p w14:paraId="51E0B39E" w14:textId="77777777" w:rsidR="00DE5A0F" w:rsidRDefault="00877BB3">
      <w:pPr>
        <w:spacing w:before="200" w:after="100"/>
      </w:pPr>
      <w:r>
        <w:rPr>
          <w:b/>
          <w:bCs/>
          <w:color w:val="1F3864"/>
          <w:sz w:val="28"/>
          <w:szCs w:val="28"/>
        </w:rPr>
        <w:t>Electric and magnetic field distribution at Port 2</w:t>
      </w:r>
    </w:p>
    <w:p w14:paraId="345799DA" w14:textId="77777777" w:rsidR="00DE5A0F" w:rsidRDefault="00877BB3">
      <w:pPr>
        <w:spacing w:before="200" w:after="100"/>
      </w:pPr>
      <w:r>
        <w:rPr>
          <w:b/>
          <w:bCs/>
          <w:color w:val="1F3864"/>
          <w:sz w:val="28"/>
          <w:szCs w:val="28"/>
        </w:rPr>
        <w:t>Sample Input</w:t>
      </w:r>
    </w:p>
    <w:p w14:paraId="1FB617CA" w14:textId="77777777" w:rsidR="00DE5A0F" w:rsidRDefault="00877BB3">
      <w:pPr>
        <w:spacing w:after="120" w:line="276" w:lineRule="auto"/>
      </w:pPr>
      <w:r>
        <w:rPr>
          <w:rFonts w:ascii="Courier New" w:eastAsia="Courier New" w:hAnsi="Courier New" w:cs="Courier New"/>
        </w:rPr>
        <w:t>Same circular resonator model, Port 2</w:t>
      </w:r>
    </w:p>
    <w:p w14:paraId="27BB60D3" w14:textId="77777777" w:rsidR="00DE5A0F" w:rsidRDefault="00877BB3">
      <w:pPr>
        <w:spacing w:before="200" w:after="100"/>
      </w:pPr>
      <w:r>
        <w:rPr>
          <w:b/>
          <w:bCs/>
          <w:color w:val="1F3864"/>
          <w:sz w:val="28"/>
          <w:szCs w:val="28"/>
        </w:rPr>
        <w:t>Simulation / Design Output</w:t>
      </w:r>
    </w:p>
    <w:tbl>
      <w:tblPr>
        <w:tblW w:w="902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0"/>
      </w:tblGrid>
      <w:tr w:rsidR="00DE5A0F" w14:paraId="7332D424" w14:textId="77777777">
        <w:tc>
          <w:tcPr>
            <w:tcW w:w="9020" w:type="dxa"/>
            <w:shd w:val="clear" w:color="auto" w:fill="0C0C0C"/>
            <w:tcMar>
              <w:top w:w="150" w:type="dxa"/>
              <w:left w:w="150" w:type="dxa"/>
              <w:bottom w:w="150" w:type="dxa"/>
              <w:right w:w="150" w:type="dxa"/>
            </w:tcMar>
          </w:tcPr>
          <w:p w14:paraId="5A7E3A38" w14:textId="77777777" w:rsidR="00DE5A0F" w:rsidRDefault="00877BB3">
            <w:r>
              <w:rPr>
                <w:rFonts w:ascii="Consolas" w:eastAsia="Consolas" w:hAnsi="Consolas" w:cs="Consolas"/>
                <w:color w:val="FFFFFF"/>
              </w:rPr>
              <w:t>[INSERT: CST electric field (e2) and magnetic field (h2) distribution plots at Port 2 here]</w:t>
            </w:r>
          </w:p>
          <w:p w14:paraId="378C5FB2" w14:textId="77777777" w:rsidR="00DE5A0F" w:rsidRDefault="00877BB3">
            <w:r>
              <w:rPr>
                <w:rFonts w:ascii="Consolas" w:eastAsia="Consolas" w:hAnsi="Consolas" w:cs="Consolas"/>
                <w:color w:val="FFFFFF"/>
              </w:rPr>
              <w:t>Table to fill in — Parameter | e2 (electric field) | h2 (magnetic field):</w:t>
            </w:r>
          </w:p>
          <w:p w14:paraId="1F3FF1FA" w14:textId="77777777" w:rsidR="00DE5A0F" w:rsidRDefault="00877BB3">
            <w:r>
              <w:rPr>
                <w:rFonts w:ascii="Consolas" w:eastAsia="Consolas" w:hAnsi="Consolas" w:cs="Consolas"/>
                <w:color w:val="FFFFFF"/>
              </w:rPr>
              <w:t xml:space="preserve">  Frequency, Mode type, Wave impedance, Line impedance, Phase constant β, Peak Value</w:t>
            </w:r>
          </w:p>
        </w:tc>
      </w:tr>
    </w:tbl>
    <w:p w14:paraId="00015E7F" w14:textId="77777777" w:rsidR="00DE5A0F" w:rsidRDefault="00877BB3">
      <w:pPr>
        <w:spacing w:before="200" w:after="100"/>
      </w:pPr>
      <w:r>
        <w:rPr>
          <w:b/>
          <w:bCs/>
          <w:color w:val="1F3864"/>
          <w:sz w:val="28"/>
          <w:szCs w:val="28"/>
        </w:rPr>
        <w:t>Observation</w:t>
      </w:r>
    </w:p>
    <w:p w14:paraId="4F92D386" w14:textId="77777777" w:rsidR="00DE5A0F" w:rsidRDefault="00877BB3">
      <w:pPr>
        <w:spacing w:after="80"/>
      </w:pPr>
      <w:r>
        <w:t>• Comparing the Port 1 and Port 2 field parameters (once filled in from CST) will show whether the resonator behaves symmetrically between its two ports, or whether the excited mode couples asymmetrically — a useful design check for resonator-based filters/couplers built on this structure.</w:t>
      </w:r>
    </w:p>
    <w:p w14:paraId="4EC9AE05" w14:textId="77777777" w:rsidR="00DE5A0F" w:rsidRDefault="00877BB3">
      <w:pPr>
        <w:pStyle w:val="Heading1"/>
        <w:spacing w:before="240" w:after="120"/>
      </w:pPr>
      <w:r>
        <w:rPr>
          <w:b/>
          <w:bCs/>
          <w:color w:val="1F3864"/>
        </w:rPr>
        <w:t>Results and Observation Table</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5"/>
        <w:gridCol w:w="2255"/>
        <w:gridCol w:w="2255"/>
        <w:gridCol w:w="2255"/>
      </w:tblGrid>
      <w:tr w:rsidR="00DE5A0F" w14:paraId="020A26CF" w14:textId="77777777">
        <w:tc>
          <w:tcPr>
            <w:tcW w:w="2255" w:type="dxa"/>
            <w:shd w:val="clear" w:color="auto" w:fill="1F3864"/>
            <w:tcMar>
              <w:top w:w="100" w:type="dxa"/>
              <w:left w:w="100" w:type="dxa"/>
              <w:bottom w:w="100" w:type="dxa"/>
              <w:right w:w="100" w:type="dxa"/>
            </w:tcMar>
            <w:vAlign w:val="center"/>
          </w:tcPr>
          <w:p w14:paraId="2A25E490" w14:textId="77777777" w:rsidR="00DE5A0F" w:rsidRDefault="00877BB3">
            <w:pPr>
              <w:jc w:val="center"/>
            </w:pPr>
            <w:r>
              <w:rPr>
                <w:b/>
                <w:bCs/>
                <w:color w:val="FFFFFF"/>
                <w:sz w:val="18"/>
                <w:szCs w:val="18"/>
              </w:rPr>
              <w:lastRenderedPageBreak/>
              <w:t>Port</w:t>
            </w:r>
          </w:p>
        </w:tc>
        <w:tc>
          <w:tcPr>
            <w:tcW w:w="2255" w:type="dxa"/>
            <w:shd w:val="clear" w:color="auto" w:fill="1F3864"/>
            <w:tcMar>
              <w:top w:w="100" w:type="dxa"/>
              <w:left w:w="100" w:type="dxa"/>
              <w:bottom w:w="100" w:type="dxa"/>
              <w:right w:w="100" w:type="dxa"/>
            </w:tcMar>
            <w:vAlign w:val="center"/>
          </w:tcPr>
          <w:p w14:paraId="0ABE2DA0" w14:textId="77777777" w:rsidR="00DE5A0F" w:rsidRDefault="00877BB3">
            <w:pPr>
              <w:jc w:val="center"/>
            </w:pPr>
            <w:r>
              <w:rPr>
                <w:b/>
                <w:bCs/>
                <w:color w:val="FFFFFF"/>
                <w:sz w:val="18"/>
                <w:szCs w:val="18"/>
              </w:rPr>
              <w:t>Mode Type (to fill in)</w:t>
            </w:r>
          </w:p>
        </w:tc>
        <w:tc>
          <w:tcPr>
            <w:tcW w:w="2255" w:type="dxa"/>
            <w:shd w:val="clear" w:color="auto" w:fill="1F3864"/>
            <w:tcMar>
              <w:top w:w="100" w:type="dxa"/>
              <w:left w:w="100" w:type="dxa"/>
              <w:bottom w:w="100" w:type="dxa"/>
              <w:right w:w="100" w:type="dxa"/>
            </w:tcMar>
            <w:vAlign w:val="center"/>
          </w:tcPr>
          <w:p w14:paraId="3CE90747" w14:textId="77777777" w:rsidR="00DE5A0F" w:rsidRDefault="00877BB3">
            <w:pPr>
              <w:jc w:val="center"/>
            </w:pPr>
            <w:r>
              <w:rPr>
                <w:b/>
                <w:bCs/>
                <w:color w:val="FFFFFF"/>
                <w:sz w:val="18"/>
                <w:szCs w:val="18"/>
              </w:rPr>
              <w:t>Resonant Frequency (to fill in)</w:t>
            </w:r>
          </w:p>
        </w:tc>
        <w:tc>
          <w:tcPr>
            <w:tcW w:w="2255" w:type="dxa"/>
            <w:shd w:val="clear" w:color="auto" w:fill="1F3864"/>
            <w:tcMar>
              <w:top w:w="100" w:type="dxa"/>
              <w:left w:w="100" w:type="dxa"/>
              <w:bottom w:w="100" w:type="dxa"/>
              <w:right w:w="100" w:type="dxa"/>
            </w:tcMar>
            <w:vAlign w:val="center"/>
          </w:tcPr>
          <w:p w14:paraId="52C8F274" w14:textId="77777777" w:rsidR="00DE5A0F" w:rsidRDefault="00877BB3">
            <w:pPr>
              <w:jc w:val="center"/>
            </w:pPr>
            <w:r>
              <w:rPr>
                <w:b/>
                <w:bCs/>
                <w:color w:val="FFFFFF"/>
                <w:sz w:val="18"/>
                <w:szCs w:val="18"/>
              </w:rPr>
              <w:t>Peak Field Values (to fill in)</w:t>
            </w:r>
          </w:p>
        </w:tc>
      </w:tr>
      <w:tr w:rsidR="00DE5A0F" w14:paraId="1B154EC8" w14:textId="77777777">
        <w:tc>
          <w:tcPr>
            <w:tcW w:w="2255" w:type="dxa"/>
            <w:tcMar>
              <w:top w:w="100" w:type="dxa"/>
              <w:left w:w="100" w:type="dxa"/>
              <w:bottom w:w="100" w:type="dxa"/>
              <w:right w:w="100" w:type="dxa"/>
            </w:tcMar>
            <w:vAlign w:val="center"/>
          </w:tcPr>
          <w:p w14:paraId="5A7F7E6E" w14:textId="77777777" w:rsidR="00DE5A0F" w:rsidRDefault="00877BB3">
            <w:pPr>
              <w:jc w:val="center"/>
            </w:pPr>
            <w:r>
              <w:rPr>
                <w:color w:val="000000"/>
                <w:sz w:val="18"/>
                <w:szCs w:val="18"/>
              </w:rPr>
              <w:t>Port 1</w:t>
            </w:r>
          </w:p>
        </w:tc>
        <w:tc>
          <w:tcPr>
            <w:tcW w:w="2255" w:type="dxa"/>
            <w:tcMar>
              <w:top w:w="100" w:type="dxa"/>
              <w:left w:w="100" w:type="dxa"/>
              <w:bottom w:w="100" w:type="dxa"/>
              <w:right w:w="100" w:type="dxa"/>
            </w:tcMar>
            <w:vAlign w:val="center"/>
          </w:tcPr>
          <w:p w14:paraId="68223ABF" w14:textId="77777777" w:rsidR="00DE5A0F" w:rsidRDefault="00877BB3">
            <w:pPr>
              <w:jc w:val="center"/>
            </w:pPr>
            <w:r>
              <w:rPr>
                <w:color w:val="000000"/>
                <w:sz w:val="18"/>
                <w:szCs w:val="18"/>
              </w:rPr>
              <w:t>—</w:t>
            </w:r>
          </w:p>
        </w:tc>
        <w:tc>
          <w:tcPr>
            <w:tcW w:w="2255" w:type="dxa"/>
            <w:tcMar>
              <w:top w:w="100" w:type="dxa"/>
              <w:left w:w="100" w:type="dxa"/>
              <w:bottom w:w="100" w:type="dxa"/>
              <w:right w:w="100" w:type="dxa"/>
            </w:tcMar>
            <w:vAlign w:val="center"/>
          </w:tcPr>
          <w:p w14:paraId="04349ABD" w14:textId="77777777" w:rsidR="00DE5A0F" w:rsidRDefault="00877BB3">
            <w:pPr>
              <w:jc w:val="center"/>
            </w:pPr>
            <w:r>
              <w:rPr>
                <w:color w:val="000000"/>
                <w:sz w:val="18"/>
                <w:szCs w:val="18"/>
              </w:rPr>
              <w:t>—</w:t>
            </w:r>
          </w:p>
        </w:tc>
        <w:tc>
          <w:tcPr>
            <w:tcW w:w="2255" w:type="dxa"/>
            <w:tcMar>
              <w:top w:w="100" w:type="dxa"/>
              <w:left w:w="100" w:type="dxa"/>
              <w:bottom w:w="100" w:type="dxa"/>
              <w:right w:w="100" w:type="dxa"/>
            </w:tcMar>
            <w:vAlign w:val="center"/>
          </w:tcPr>
          <w:p w14:paraId="712106F8" w14:textId="77777777" w:rsidR="00DE5A0F" w:rsidRDefault="00877BB3">
            <w:pPr>
              <w:jc w:val="center"/>
            </w:pPr>
            <w:r>
              <w:rPr>
                <w:color w:val="000000"/>
                <w:sz w:val="18"/>
                <w:szCs w:val="18"/>
              </w:rPr>
              <w:t>—</w:t>
            </w:r>
          </w:p>
        </w:tc>
      </w:tr>
      <w:tr w:rsidR="00DE5A0F" w14:paraId="01E35240" w14:textId="77777777">
        <w:tc>
          <w:tcPr>
            <w:tcW w:w="2255" w:type="dxa"/>
            <w:tcMar>
              <w:top w:w="100" w:type="dxa"/>
              <w:left w:w="100" w:type="dxa"/>
              <w:bottom w:w="100" w:type="dxa"/>
              <w:right w:w="100" w:type="dxa"/>
            </w:tcMar>
            <w:vAlign w:val="center"/>
          </w:tcPr>
          <w:p w14:paraId="1B7C1DB5" w14:textId="77777777" w:rsidR="00DE5A0F" w:rsidRDefault="00877BB3">
            <w:pPr>
              <w:jc w:val="center"/>
            </w:pPr>
            <w:r>
              <w:rPr>
                <w:color w:val="000000"/>
                <w:sz w:val="18"/>
                <w:szCs w:val="18"/>
              </w:rPr>
              <w:t>Port 2</w:t>
            </w:r>
          </w:p>
        </w:tc>
        <w:tc>
          <w:tcPr>
            <w:tcW w:w="2255" w:type="dxa"/>
            <w:tcMar>
              <w:top w:w="100" w:type="dxa"/>
              <w:left w:w="100" w:type="dxa"/>
              <w:bottom w:w="100" w:type="dxa"/>
              <w:right w:w="100" w:type="dxa"/>
            </w:tcMar>
            <w:vAlign w:val="center"/>
          </w:tcPr>
          <w:p w14:paraId="038C746F" w14:textId="77777777" w:rsidR="00DE5A0F" w:rsidRDefault="00877BB3">
            <w:pPr>
              <w:jc w:val="center"/>
            </w:pPr>
            <w:r>
              <w:rPr>
                <w:color w:val="000000"/>
                <w:sz w:val="18"/>
                <w:szCs w:val="18"/>
              </w:rPr>
              <w:t>—</w:t>
            </w:r>
          </w:p>
        </w:tc>
        <w:tc>
          <w:tcPr>
            <w:tcW w:w="2255" w:type="dxa"/>
            <w:tcMar>
              <w:top w:w="100" w:type="dxa"/>
              <w:left w:w="100" w:type="dxa"/>
              <w:bottom w:w="100" w:type="dxa"/>
              <w:right w:w="100" w:type="dxa"/>
            </w:tcMar>
            <w:vAlign w:val="center"/>
          </w:tcPr>
          <w:p w14:paraId="3E5B8B55" w14:textId="77777777" w:rsidR="00DE5A0F" w:rsidRDefault="00877BB3">
            <w:pPr>
              <w:jc w:val="center"/>
            </w:pPr>
            <w:r>
              <w:rPr>
                <w:color w:val="000000"/>
                <w:sz w:val="18"/>
                <w:szCs w:val="18"/>
              </w:rPr>
              <w:t>—</w:t>
            </w:r>
          </w:p>
        </w:tc>
        <w:tc>
          <w:tcPr>
            <w:tcW w:w="2255" w:type="dxa"/>
            <w:tcMar>
              <w:top w:w="100" w:type="dxa"/>
              <w:left w:w="100" w:type="dxa"/>
              <w:bottom w:w="100" w:type="dxa"/>
              <w:right w:w="100" w:type="dxa"/>
            </w:tcMar>
            <w:vAlign w:val="center"/>
          </w:tcPr>
          <w:p w14:paraId="58FD20E2" w14:textId="77777777" w:rsidR="00DE5A0F" w:rsidRDefault="00877BB3">
            <w:pPr>
              <w:jc w:val="center"/>
            </w:pPr>
            <w:r>
              <w:rPr>
                <w:color w:val="000000"/>
                <w:sz w:val="18"/>
                <w:szCs w:val="18"/>
              </w:rPr>
              <w:t>—</w:t>
            </w:r>
          </w:p>
        </w:tc>
      </w:tr>
    </w:tbl>
    <w:p w14:paraId="08D7140E" w14:textId="77777777" w:rsidR="00DE5A0F" w:rsidRDefault="00877BB3">
      <w:pPr>
        <w:spacing w:before="200"/>
      </w:pPr>
      <w:r>
        <w:rPr>
          <w:i/>
          <w:iCs/>
        </w:rPr>
        <w:t>No field values, mode identifications, or plots were fabricated; all CST-specific data are placeholders for you to fill in after running the actual simulation.</w:t>
      </w:r>
    </w:p>
    <w:p w14:paraId="3E291669" w14:textId="77777777" w:rsidR="00DE5A0F" w:rsidRDefault="00877BB3">
      <w:pPr>
        <w:pStyle w:val="Heading1"/>
        <w:spacing w:before="240" w:after="120"/>
      </w:pPr>
      <w:r>
        <w:rPr>
          <w:b/>
          <w:bCs/>
          <w:color w:val="1F3864"/>
        </w:rPr>
        <w:t>Result</w:t>
      </w:r>
    </w:p>
    <w:p w14:paraId="494D82E4" w14:textId="77777777" w:rsidR="00DE5A0F" w:rsidRDefault="00877BB3">
      <w:pPr>
        <w:spacing w:after="120" w:line="276" w:lineRule="auto"/>
      </w:pPr>
      <w:r>
        <w:t>Procedure and expected analysis approach are documented above. The actual CST Studio Suite simulation (field distribution and parameters at both ports of the circular resonator) still needs to be run and the results inserted before submission.</w:t>
      </w:r>
    </w:p>
    <w:sectPr w:rsidR="00DE5A0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815EBD"/>
    <w:multiLevelType w:val="hybridMultilevel"/>
    <w:tmpl w:val="8F46D4F8"/>
    <w:lvl w:ilvl="0" w:tplc="BD5E4EAC">
      <w:start w:val="1"/>
      <w:numFmt w:val="bullet"/>
      <w:lvlText w:val="●"/>
      <w:lvlJc w:val="left"/>
      <w:pPr>
        <w:ind w:left="720" w:hanging="360"/>
      </w:pPr>
    </w:lvl>
    <w:lvl w:ilvl="1" w:tplc="A640971E">
      <w:start w:val="1"/>
      <w:numFmt w:val="bullet"/>
      <w:lvlText w:val="○"/>
      <w:lvlJc w:val="left"/>
      <w:pPr>
        <w:ind w:left="1440" w:hanging="360"/>
      </w:pPr>
    </w:lvl>
    <w:lvl w:ilvl="2" w:tplc="D4A42BBA">
      <w:start w:val="1"/>
      <w:numFmt w:val="bullet"/>
      <w:lvlText w:val="■"/>
      <w:lvlJc w:val="left"/>
      <w:pPr>
        <w:ind w:left="2160" w:hanging="360"/>
      </w:pPr>
    </w:lvl>
    <w:lvl w:ilvl="3" w:tplc="D388B27E">
      <w:start w:val="1"/>
      <w:numFmt w:val="bullet"/>
      <w:lvlText w:val="●"/>
      <w:lvlJc w:val="left"/>
      <w:pPr>
        <w:ind w:left="2880" w:hanging="360"/>
      </w:pPr>
    </w:lvl>
    <w:lvl w:ilvl="4" w:tplc="3A7C0EE0">
      <w:start w:val="1"/>
      <w:numFmt w:val="bullet"/>
      <w:lvlText w:val="○"/>
      <w:lvlJc w:val="left"/>
      <w:pPr>
        <w:ind w:left="3600" w:hanging="360"/>
      </w:pPr>
    </w:lvl>
    <w:lvl w:ilvl="5" w:tplc="09DC8870">
      <w:start w:val="1"/>
      <w:numFmt w:val="bullet"/>
      <w:lvlText w:val="■"/>
      <w:lvlJc w:val="left"/>
      <w:pPr>
        <w:ind w:left="4320" w:hanging="360"/>
      </w:pPr>
    </w:lvl>
    <w:lvl w:ilvl="6" w:tplc="D9FC3D5E">
      <w:start w:val="1"/>
      <w:numFmt w:val="bullet"/>
      <w:lvlText w:val="●"/>
      <w:lvlJc w:val="left"/>
      <w:pPr>
        <w:ind w:left="5040" w:hanging="360"/>
      </w:pPr>
    </w:lvl>
    <w:lvl w:ilvl="7" w:tplc="B43E58E6">
      <w:start w:val="1"/>
      <w:numFmt w:val="bullet"/>
      <w:lvlText w:val="●"/>
      <w:lvlJc w:val="left"/>
      <w:pPr>
        <w:ind w:left="5760" w:hanging="360"/>
      </w:pPr>
    </w:lvl>
    <w:lvl w:ilvl="8" w:tplc="09267A7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A0F"/>
    <w:rsid w:val="006E0162"/>
    <w:rsid w:val="00877BB3"/>
    <w:rsid w:val="00DE5A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2997A"/>
  <w15:docId w15:val="{AF6295DF-8C8D-4A28-A3F3-C38B29E1E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381</Words>
  <Characters>2174</Characters>
  <Application>Microsoft Office Word</Application>
  <DocSecurity>0</DocSecurity>
  <Lines>18</Lines>
  <Paragraphs>5</Paragraphs>
  <ScaleCrop>false</ScaleCrop>
  <Company/>
  <LinksUpToDate>false</LinksUpToDate>
  <CharactersWithSpaces>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Mukhilan Subramanian</cp:lastModifiedBy>
  <cp:revision>3</cp:revision>
  <dcterms:created xsi:type="dcterms:W3CDTF">2026-08-19T09:12:00Z</dcterms:created>
  <dcterms:modified xsi:type="dcterms:W3CDTF">2026-09-09T16:37:00Z</dcterms:modified>
</cp:coreProperties>
</file>