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jc w:val="center"/>
      </w:pPr>
      <w:r>
        <w:rPr>
          <w:b w:val="1"/>
          <w:bCs w:val="1"/>
          <w:rtl w:val="0"/>
          <w:lang w:val="en-US"/>
        </w:rPr>
        <w:t>DeFi Project Report (Tasks 1</w:t>
      </w:r>
      <w:r>
        <w:rPr>
          <w:b w:val="1"/>
          <w:bCs w:val="1"/>
          <w:rtl w:val="0"/>
        </w:rPr>
        <w:t>–</w:t>
      </w:r>
      <w:r>
        <w:rPr>
          <w:b w:val="1"/>
          <w:bCs w:val="1"/>
          <w:rtl w:val="0"/>
        </w:rPr>
        <w:t>3)</w:t>
      </w:r>
    </w:p>
    <w:p>
      <w:pPr>
        <w:pStyle w:val="Основной текст"/>
      </w:pPr>
    </w:p>
    <w:p>
      <w:pPr>
        <w:pStyle w:val="Рубрика"/>
        <w:rPr>
          <w:outline w:val="0"/>
          <w:color w:val="000000"/>
          <w14:textFill>
            <w14:solidFill>
              <w14:srgbClr w14:val="000000"/>
            </w14:solidFill>
          </w14:textFill>
        </w:rPr>
      </w:pPr>
      <w:r>
        <w:rPr>
          <w:outline w:val="0"/>
          <w:color w:val="000000"/>
          <w:rtl w:val="0"/>
          <w:lang w:val="fr-FR"/>
          <w14:textFill>
            <w14:solidFill>
              <w14:srgbClr w14:val="000000"/>
            </w14:solidFill>
          </w14:textFill>
        </w:rPr>
        <w:t>1. Introduction</w:t>
      </w:r>
    </w:p>
    <w:p>
      <w:pPr>
        <w:pStyle w:val="Основной текст"/>
      </w:pPr>
      <w:r>
        <w:rPr>
          <w:rtl w:val="0"/>
        </w:rPr>
        <w:t>This project explores the fundamentals of decentralized finance (DeFi) through the implementation of a token system and a simplified Automated Market Maker (AMM). The work is inspired by real-world decentralized exchanges such as Uniswap and aims to demonstrate how blockchain-based financial systems operate without intermediaries.</w:t>
      </w:r>
    </w:p>
    <w:p>
      <w:pPr>
        <w:pStyle w:val="Рубрика"/>
        <w:rPr>
          <w:outline w:val="0"/>
          <w:color w:val="000000"/>
          <w14:textFill>
            <w14:solidFill>
              <w14:srgbClr w14:val="000000"/>
            </w14:solidFill>
          </w14:textFill>
        </w:rPr>
      </w:pPr>
      <w:r>
        <w:rPr>
          <w:outline w:val="0"/>
          <w:color w:val="000000"/>
          <w:rtl w:val="0"/>
          <w14:textFill>
            <w14:solidFill>
              <w14:srgbClr w14:val="000000"/>
            </w14:solidFill>
          </w14:textFill>
        </w:rPr>
        <w:t xml:space="preserve">2. Task 1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Token Implementation</w:t>
      </w:r>
    </w:p>
    <w:p>
      <w:pPr>
        <w:pStyle w:val="Основной текст"/>
      </w:pPr>
      <w:r>
        <w:rPr>
          <w:rtl w:val="0"/>
        </w:rPr>
        <w:t>A custom ERC20-like token (MyToken.sol) was implemented with core functionalities:</w:t>
      </w:r>
    </w:p>
    <w:p>
      <w:pPr>
        <w:pStyle w:val="Основной текст"/>
      </w:pPr>
      <w:r>
        <w:rPr>
          <w:rtl w:val="0"/>
        </w:rPr>
        <w:tab/>
        <w:t>mint</w:t>
      </w:r>
      <w:r>
        <w:rPr>
          <w:rtl w:val="0"/>
        </w:rPr>
        <w:t xml:space="preserve">, </w:t>
      </w:r>
      <w:r>
        <w:rPr>
          <w:rtl w:val="0"/>
          <w:lang w:val="nl-NL"/>
        </w:rPr>
        <w:t>transfer</w:t>
      </w:r>
      <w:r>
        <w:rPr>
          <w:rtl w:val="0"/>
        </w:rPr>
        <w:t xml:space="preserve">, </w:t>
      </w:r>
      <w:r>
        <w:rPr>
          <w:rtl w:val="0"/>
          <w:lang w:val="it-IT"/>
        </w:rPr>
        <w:t>approve</w:t>
      </w:r>
      <w:r>
        <w:rPr>
          <w:rtl w:val="0"/>
        </w:rPr>
        <w:t xml:space="preserve">, </w:t>
      </w:r>
      <w:r>
        <w:rPr>
          <w:rtl w:val="0"/>
        </w:rPr>
        <w:t>transferFrom</w:t>
      </w:r>
    </w:p>
    <w:p>
      <w:pPr>
        <w:pStyle w:val="Основной текст"/>
      </w:pPr>
      <w:r>
        <w:rPr>
          <w:rtl w:val="0"/>
        </w:rPr>
        <w:t>The contract maintains:</w:t>
      </w:r>
    </w:p>
    <w:p>
      <w:pPr>
        <w:pStyle w:val="Основной текст"/>
      </w:pPr>
      <w:r>
        <w:rPr>
          <w:rtl w:val="0"/>
          <w:lang w:val="fr-FR"/>
        </w:rPr>
        <w:tab/>
        <w:t>balances (balanceOf)</w:t>
      </w:r>
    </w:p>
    <w:p>
      <w:pPr>
        <w:pStyle w:val="Основной текст"/>
      </w:pPr>
      <w:r>
        <w:rPr>
          <w:rtl w:val="0"/>
        </w:rPr>
        <w:tab/>
        <w:t>allowances (allowance)</w:t>
      </w:r>
    </w:p>
    <w:p>
      <w:pPr>
        <w:pStyle w:val="Основной текст"/>
      </w:pPr>
      <w:r>
        <w:rPr>
          <w:rtl w:val="0"/>
        </w:rPr>
        <w:tab/>
        <w:t>total supply</w:t>
      </w:r>
    </w:p>
    <w:p>
      <w:pPr>
        <w:pStyle w:val="Основной текст"/>
      </w:pPr>
      <w:r>
        <w:rPr>
          <w:rFonts w:ascii="Arial Unicode MS" w:cs="Arial Unicode MS" w:hAnsi="Arial Unicode MS" w:eastAsia="Arial Unicode MS" w:hint="eastAsia"/>
          <w:b w:val="0"/>
          <w:bCs w:val="0"/>
          <w:i w:val="0"/>
          <w:iCs w:val="0"/>
          <w:rtl w:val="0"/>
        </w:rPr>
        <w:t>📌</w:t>
      </w:r>
      <w:r>
        <w:rPr>
          <w:rtl w:val="0"/>
        </w:rPr>
        <w:t xml:space="preserve"> </w:t>
      </w:r>
      <w:r>
        <w:rPr>
          <w:rtl w:val="0"/>
        </w:rPr>
        <w:t>Key Features</w:t>
      </w:r>
    </w:p>
    <w:p>
      <w:pPr>
        <w:pStyle w:val="Основной текст"/>
      </w:pPr>
      <w:r>
        <w:rPr>
          <w:rtl w:val="0"/>
        </w:rPr>
        <w:tab/>
        <w:t>Users can mint tokens</w:t>
      </w:r>
    </w:p>
    <w:p>
      <w:pPr>
        <w:pStyle w:val="Основной текст"/>
      </w:pPr>
      <w:r>
        <w:rPr>
          <w:rtl w:val="0"/>
        </w:rPr>
        <w:tab/>
        <w:t>Transfers update balances correctly</w:t>
      </w:r>
    </w:p>
    <w:p>
      <w:pPr>
        <w:pStyle w:val="Основной текст"/>
      </w:pPr>
      <w:r>
        <w:rPr>
          <w:rtl w:val="0"/>
        </w:rPr>
        <w:tab/>
        <w:t>Allowance system enables delegated transfers</w:t>
      </w:r>
    </w:p>
    <w:p>
      <w:pPr>
        <w:pStyle w:val="Основной текст"/>
      </w:pPr>
    </w:p>
    <w:p>
      <w:pPr>
        <w:pStyle w:val="Основной текст"/>
      </w:pPr>
      <w:r>
        <w:rPr>
          <w:rtl w:val="0"/>
        </w:rPr>
        <w:t xml:space="preserve"> Testing</w:t>
      </w:r>
    </w:p>
    <w:p>
      <w:pPr>
        <w:pStyle w:val="Основной текст"/>
      </w:pPr>
      <w:r>
        <w:rPr>
          <w:rtl w:val="0"/>
        </w:rPr>
        <w:t>Unit tests were implemented to validate:</w:t>
      </w:r>
    </w:p>
    <w:p>
      <w:pPr>
        <w:pStyle w:val="Основной текст"/>
      </w:pPr>
      <w:r>
        <w:rPr>
          <w:rtl w:val="0"/>
        </w:rPr>
        <w:tab/>
        <w:t>Transfers between users</w:t>
      </w:r>
    </w:p>
    <w:p>
      <w:pPr>
        <w:pStyle w:val="Основной текст"/>
      </w:pPr>
      <w:r>
        <w:rPr>
          <w:rtl w:val="0"/>
        </w:rPr>
        <w:tab/>
        <w:t>Approval and allowance reduction</w:t>
      </w:r>
    </w:p>
    <w:p>
      <w:pPr>
        <w:pStyle w:val="Основной текст"/>
      </w:pPr>
      <w:r>
        <w:rPr>
          <w:rtl w:val="0"/>
        </w:rPr>
        <w:tab/>
        <w:t>Edge cases (zero transfers, insufficient</w:t>
      </w:r>
      <w:r>
        <w:rPr>
          <w:rtl w:val="0"/>
        </w:rPr>
        <w:t>)</w:t>
      </w:r>
      <w:r>
        <w:drawing xmlns:a="http://schemas.openxmlformats.org/drawingml/2006/main">
          <wp:inline distT="0" distB="0" distL="0" distR="0">
            <wp:extent cx="5029200" cy="425834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029200" cy="4258346"/>
                    </a:xfrm>
                    <a:prstGeom prst="rect">
                      <a:avLst/>
                    </a:prstGeom>
                    <a:ln w="12700" cap="flat">
                      <a:noFill/>
                      <a:miter lim="400000"/>
                    </a:ln>
                    <a:effectLst/>
                  </pic:spPr>
                </pic:pic>
              </a:graphicData>
            </a:graphic>
          </wp:inline>
        </w:drawing>
      </w:r>
    </w:p>
    <w:p>
      <w:pPr>
        <w:pStyle w:val="Основной текст"/>
      </w:pPr>
      <w:r>
        <w:rPr>
          <w:rtl w:val="0"/>
        </w:rPr>
        <w:tab/>
        <w:t>Fuzz testing for robustness</w:t>
      </w:r>
    </w:p>
    <w:p>
      <w:pPr>
        <w:pStyle w:val="Основной текст"/>
      </w:pPr>
    </w:p>
    <w:p>
      <w:pPr>
        <w:pStyle w:val="Основной текст"/>
      </w:pPr>
      <w:r>
        <w:rPr>
          <w:rtl w:val="0"/>
        </w:rPr>
        <w:t xml:space="preserve"> Result</w:t>
      </w:r>
    </w:p>
    <w:p>
      <w:pPr>
        <w:pStyle w:val="Основной текст"/>
      </w:pPr>
      <w:r>
        <w:rPr>
          <w:rtl w:val="0"/>
        </w:rPr>
        <w:t>All token tests passed successfully:</w:t>
      </w:r>
    </w:p>
    <w:p>
      <w:pPr>
        <w:pStyle w:val="Основной текст"/>
      </w:pPr>
      <w:r>
        <w:rPr>
          <w:rtl w:val="0"/>
        </w:rPr>
        <w:tab/>
        <w:t>11 tests executed</w:t>
      </w:r>
    </w:p>
    <w:p>
      <w:pPr>
        <w:pStyle w:val="Основной текст"/>
      </w:pPr>
      <w:r>
        <w:rPr>
          <w:rtl w:val="0"/>
        </w:rPr>
        <w:tab/>
        <w:t>0 failures</w:t>
      </w:r>
    </w:p>
    <w:p>
      <w:pPr>
        <w:pStyle w:val="Основной текст"/>
      </w:pPr>
    </w:p>
    <w:p>
      <w:pPr>
        <w:pStyle w:val="Основной текст"/>
      </w:pPr>
      <w:r>
        <w:rPr>
          <w:rtl w:val="0"/>
        </w:rPr>
        <w:t xml:space="preserve">This confirms correct token logic and compliance with expected ERC20 behavior.3. </w:t>
      </w:r>
    </w:p>
    <w:p>
      <w:pPr>
        <w:pStyle w:val="Рубрика 2"/>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Task 2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Fork Testing</w:t>
      </w:r>
    </w:p>
    <w:p>
      <w:pPr>
        <w:pStyle w:val="Основной текст"/>
      </w:pPr>
      <w:r>
        <w:rPr>
          <w:rtl w:val="0"/>
        </w:rPr>
        <w:t>In this task, a forked Ethereum mainnet environment was used to interact with real blockchain data. Instead of deploying mock contracts, the system connects to a live network snapshot and executes tests on existing smart contracts.</w:t>
      </w:r>
    </w:p>
    <w:p>
      <w:pPr>
        <w:pStyle w:val="Основной текст"/>
      </w:pPr>
    </w:p>
    <w:p>
      <w:pPr>
        <w:pStyle w:val="Основной текст"/>
        <w:rPr>
          <w:b w:val="1"/>
          <w:bCs w:val="1"/>
        </w:rPr>
      </w:pPr>
      <w:r>
        <w:rPr>
          <w:b w:val="1"/>
          <w:bCs w:val="1"/>
          <w:rtl w:val="0"/>
          <w:lang w:val="fr-FR"/>
        </w:rPr>
        <w:t xml:space="preserve"> Implementation</w:t>
      </w:r>
    </w:p>
    <w:p>
      <w:pPr>
        <w:pStyle w:val="Основной текст"/>
      </w:pPr>
      <w:r>
        <w:rPr>
          <w:rtl w:val="0"/>
        </w:rPr>
        <w:t>The fork was created using Foundry</w:t>
      </w:r>
      <w:r>
        <w:rPr>
          <w:rtl w:val="1"/>
        </w:rPr>
        <w:t>’</w:t>
      </w:r>
      <w:r>
        <w:rPr>
          <w:rtl w:val="0"/>
        </w:rPr>
        <w:t>s built-in functionality:</w:t>
      </w:r>
    </w:p>
    <w:p>
      <w:pPr>
        <w:pStyle w:val="Основной текст"/>
      </w:pPr>
      <w:r>
        <w:rPr>
          <w:rtl w:val="0"/>
        </w:rPr>
        <w:tab/>
        <w:t>vm.createSelectFork() was used to connect to Ethereum mainnet</w:t>
      </w:r>
    </w:p>
    <w:p>
      <w:pPr>
        <w:pStyle w:val="Основной текст"/>
      </w:pPr>
      <w:r>
        <w:rPr>
          <w:rtl w:val="0"/>
        </w:rPr>
        <w:tab/>
        <w:t>An Alchemy RPC endpoint was configured</w:t>
      </w:r>
    </w:p>
    <w:p>
      <w:pPr>
        <w:pStyle w:val="Основной текст"/>
      </w:pPr>
      <w:r>
        <w:rPr>
          <w:rtl w:val="0"/>
        </w:rPr>
        <w:tab/>
        <w:t>The real USDC contract address was used</w:t>
      </w:r>
    </w:p>
    <w:p>
      <w:pPr>
        <w:pStyle w:val="Основной текст"/>
      </w:pPr>
      <w:r>
        <w:rPr>
          <w:rtl w:val="0"/>
        </w:rPr>
        <w:t>The following operations were tested:</w:t>
      </w:r>
    </w:p>
    <w:p>
      <w:pPr>
        <w:pStyle w:val="Основной текст"/>
      </w:pPr>
      <w:r>
        <w:rPr>
          <w:rtl w:val="0"/>
        </w:rPr>
        <w:tab/>
        <w:t>Reading the total supply of USDC</w:t>
      </w:r>
    </w:p>
    <w:p>
      <w:pPr>
        <w:pStyle w:val="Основной текст"/>
      </w:pPr>
      <w:r>
        <w:rPr>
          <w:rtl w:val="0"/>
        </w:rPr>
        <w:tab/>
        <w:t>Executing a swap from ETH to USDC using a real router</w:t>
      </w:r>
    </w:p>
    <w:p>
      <w:pPr>
        <w:pStyle w:val="Основной текст"/>
        <w:rPr>
          <w:b w:val="1"/>
          <w:bCs w:val="1"/>
        </w:rPr>
      </w:pPr>
      <w:r>
        <w:rPr>
          <w:b w:val="1"/>
          <w:bCs w:val="1"/>
          <w:rtl w:val="0"/>
          <w:lang w:val="en-US"/>
        </w:rPr>
        <w:t xml:space="preserve"> Results</w:t>
      </w:r>
    </w:p>
    <w:p>
      <w:pPr>
        <w:pStyle w:val="Основной текст"/>
      </w:pPr>
      <w:r>
        <w:rPr>
          <w:rtl w:val="0"/>
        </w:rPr>
        <w:t>The tests were executed successfully:</w:t>
      </w:r>
    </w:p>
    <w:p>
      <w:pPr>
        <w:pStyle w:val="Основной текст"/>
      </w:pPr>
      <w:r>
        <w:rPr>
          <w:rtl w:val="0"/>
        </w:rPr>
        <w:tab/>
        <w:t>USDC total supply was retrieved correctly</w:t>
      </w:r>
    </w:p>
    <w:p>
      <w:pPr>
        <w:pStyle w:val="Основной текст"/>
      </w:pPr>
      <w:r>
        <w:rPr>
          <w:rtl w:val="0"/>
          <w:lang w:val="de-DE"/>
        </w:rPr>
        <w:tab/>
        <w:t xml:space="preserve">ETH </w:t>
      </w:r>
      <w:r>
        <w:rPr>
          <w:rtl w:val="0"/>
        </w:rPr>
        <w:t xml:space="preserve">→ </w:t>
      </w:r>
      <w:r>
        <w:rPr>
          <w:rtl w:val="0"/>
        </w:rPr>
        <w:t>USDC swap was completed</w:t>
      </w:r>
      <w:r>
        <w:drawing xmlns:a="http://schemas.openxmlformats.org/drawingml/2006/main">
          <wp:inline distT="0" distB="0" distL="0" distR="0">
            <wp:extent cx="5029200" cy="4141376"/>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029200" cy="4141376"/>
                    </a:xfrm>
                    <a:prstGeom prst="rect">
                      <a:avLst/>
                    </a:prstGeom>
                    <a:ln w="12700" cap="flat">
                      <a:noFill/>
                      <a:miter lim="400000"/>
                    </a:ln>
                    <a:effectLst/>
                  </pic:spPr>
                </pic:pic>
              </a:graphicData>
            </a:graphic>
          </wp:inline>
        </w:drawing>
      </w:r>
    </w:p>
    <w:p>
      <w:pPr>
        <w:pStyle w:val="Основной текст"/>
      </w:pPr>
      <w:r>
        <w:rPr>
          <w:rtl w:val="0"/>
        </w:rPr>
        <w:tab/>
        <w:t>All fork-based tests passed without errors</w:t>
      </w:r>
    </w:p>
    <w:p>
      <w:pPr>
        <w:pStyle w:val="Основной текст"/>
      </w:pPr>
      <w:r>
        <w:rPr>
          <w:rtl w:val="0"/>
        </w:rPr>
        <w:t>Fork testing is a powerful technique that enables developers to validate smart contract interactions in a realistic environment. It bridges the gap between local testing and real blockchain execution.</w:t>
      </w:r>
    </w:p>
    <w:p>
      <w:pPr>
        <w:pStyle w:val="Основной текст"/>
      </w:pPr>
    </w:p>
    <w:p>
      <w:pPr>
        <w:pStyle w:val="Рубрика"/>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Task 3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AMM Implementation</w:t>
      </w:r>
    </w:p>
    <w:p>
      <w:pPr>
        <w:pStyle w:val="Основной текст"/>
      </w:pPr>
      <w:r>
        <w:rPr>
          <w:rtl w:val="0"/>
        </w:rPr>
        <w:t>In this task, a simplified Automated Market Maker (AMM) was implemented, similar to systems used in decentralized exchanges like Uniswap.</w:t>
      </w:r>
    </w:p>
    <w:p>
      <w:pPr>
        <w:pStyle w:val="Основной текст"/>
      </w:pPr>
    </w:p>
    <w:p>
      <w:pPr>
        <w:pStyle w:val="Основной текст"/>
        <w:rPr>
          <w:b w:val="1"/>
          <w:bCs w:val="1"/>
        </w:rPr>
      </w:pPr>
      <w:r>
        <w:rPr>
          <w:b w:val="1"/>
          <w:bCs w:val="1"/>
          <w:rtl w:val="0"/>
          <w:lang w:val="en-US"/>
        </w:rPr>
        <w:t>The AMM enables:</w:t>
      </w:r>
    </w:p>
    <w:p>
      <w:pPr>
        <w:pStyle w:val="Основной текст"/>
      </w:pPr>
      <w:r>
        <w:rPr>
          <w:rtl w:val="0"/>
        </w:rPr>
        <w:tab/>
        <w:t>Adding liquidity</w:t>
      </w:r>
    </w:p>
    <w:p>
      <w:pPr>
        <w:pStyle w:val="Основной текст"/>
      </w:pPr>
      <w:r>
        <w:rPr>
          <w:rtl w:val="0"/>
        </w:rPr>
        <w:tab/>
        <w:t>Removing liquidity</w:t>
      </w:r>
    </w:p>
    <w:p>
      <w:pPr>
        <w:pStyle w:val="Основной текст"/>
      </w:pPr>
      <w:r>
        <w:rPr>
          <w:rtl w:val="0"/>
        </w:rPr>
        <w:tab/>
        <w:t>Swapping tokens</w:t>
      </w:r>
      <w:r>
        <w:drawing xmlns:a="http://schemas.openxmlformats.org/drawingml/2006/main">
          <wp:anchor distT="152400" distB="152400" distL="152400" distR="152400" simplePos="0" relativeHeight="251659264" behindDoc="0" locked="0" layoutInCell="1" allowOverlap="1">
            <wp:simplePos x="0" y="0"/>
            <wp:positionH relativeFrom="margin">
              <wp:posOffset>-139501</wp:posOffset>
            </wp:positionH>
            <wp:positionV relativeFrom="line">
              <wp:posOffset>388156</wp:posOffset>
            </wp:positionV>
            <wp:extent cx="5486400" cy="3749040"/>
            <wp:effectExtent l="0" t="0" r="0" b="0"/>
            <wp:wrapThrough wrapText="bothSides" distL="152400" distR="152400">
              <wp:wrapPolygon edited="1">
                <wp:start x="0" y="0"/>
                <wp:lineTo x="21600" y="0"/>
                <wp:lineTo x="21600" y="21600"/>
                <wp:lineTo x="0" y="21600"/>
                <wp:lineTo x="0" y="0"/>
              </wp:wrapPolygon>
            </wp:wrapThrough>
            <wp:docPr id="1073741827" name="officeArt object" descr="Снимок экрана 2026-04-12 в 14.36.27.png"/>
            <wp:cNvGraphicFramePr/>
            <a:graphic xmlns:a="http://schemas.openxmlformats.org/drawingml/2006/main">
              <a:graphicData uri="http://schemas.openxmlformats.org/drawingml/2006/picture">
                <pic:pic xmlns:pic="http://schemas.openxmlformats.org/drawingml/2006/picture">
                  <pic:nvPicPr>
                    <pic:cNvPr id="1073741827" name="Снимок экрана 2026-04-12 в 14.36.27.png" descr="Снимок экрана 2026-04-12 в 14.36.27.png"/>
                    <pic:cNvPicPr>
                      <a:picLocks noChangeAspect="1"/>
                    </pic:cNvPicPr>
                  </pic:nvPicPr>
                  <pic:blipFill>
                    <a:blip r:embed="rId6">
                      <a:extLst/>
                    </a:blip>
                    <a:stretch>
                      <a:fillRect/>
                    </a:stretch>
                  </pic:blipFill>
                  <pic:spPr>
                    <a:xfrm>
                      <a:off x="0" y="0"/>
                      <a:ext cx="5486400" cy="3749040"/>
                    </a:xfrm>
                    <a:prstGeom prst="rect">
                      <a:avLst/>
                    </a:prstGeom>
                    <a:ln w="12700" cap="flat">
                      <a:noFill/>
                      <a:miter lim="400000"/>
                    </a:ln>
                    <a:effectLst/>
                  </pic:spPr>
                </pic:pic>
              </a:graphicData>
            </a:graphic>
          </wp:anchor>
        </w:drawing>
      </w:r>
    </w:p>
    <w:p>
      <w:pPr>
        <w:pStyle w:val="Основной текст"/>
      </w:pPr>
    </w:p>
    <w:p>
      <w:pPr>
        <w:pStyle w:val="Основной текст"/>
      </w:pPr>
    </w:p>
    <w:p>
      <w:pPr>
        <w:pStyle w:val="Основной текст"/>
      </w:pPr>
    </w:p>
    <w:p>
      <w:pPr>
        <w:pStyle w:val="Основной текст"/>
      </w:pPr>
    </w:p>
    <w:p>
      <w:pPr>
        <w:pStyle w:val="Основной текст"/>
      </w:pPr>
      <w:r>
        <w:rPr>
          <w:rtl w:val="0"/>
        </w:rPr>
        <w:t>I tested the system using unit tests fuzz tests and invariant tests</w:t>
      </w:r>
    </w:p>
    <w:p>
      <w:pPr>
        <w:pStyle w:val="Основной текст"/>
      </w:pPr>
    </w:p>
    <w:p>
      <w:pPr>
        <w:pStyle w:val="Основной текст"/>
      </w:pPr>
      <w:r>
        <w:rPr>
          <w:rtl w:val="0"/>
        </w:rPr>
        <w:t>All tests passed successfully and the AMM works correctly</w:t>
      </w:r>
    </w:p>
    <w:p>
      <w:pPr>
        <w:pStyle w:val="Основной текст"/>
      </w:pPr>
      <w:r>
        <w:drawing xmlns:a="http://schemas.openxmlformats.org/drawingml/2006/main">
          <wp:anchor distT="152400" distB="152400" distL="152400" distR="152400" simplePos="0" relativeHeight="251660288" behindDoc="0" locked="0" layoutInCell="1" allowOverlap="1">
            <wp:simplePos x="0" y="0"/>
            <wp:positionH relativeFrom="margin">
              <wp:posOffset>-203932</wp:posOffset>
            </wp:positionH>
            <wp:positionV relativeFrom="line">
              <wp:posOffset>319079</wp:posOffset>
            </wp:positionV>
            <wp:extent cx="4086393" cy="5386077"/>
            <wp:effectExtent l="0" t="0" r="0" b="0"/>
            <wp:wrapThrough wrapText="bothSides" distL="152400" distR="152400">
              <wp:wrapPolygon edited="1">
                <wp:start x="0" y="0"/>
                <wp:lineTo x="21600" y="0"/>
                <wp:lineTo x="21600" y="21600"/>
                <wp:lineTo x="0" y="21600"/>
                <wp:lineTo x="0" y="0"/>
              </wp:wrapPolygon>
            </wp:wrapThrough>
            <wp:docPr id="1073741828" name="officeArt object" descr="Снимок экрана 2026-04-12 в 14.45.44.png"/>
            <wp:cNvGraphicFramePr/>
            <a:graphic xmlns:a="http://schemas.openxmlformats.org/drawingml/2006/main">
              <a:graphicData uri="http://schemas.openxmlformats.org/drawingml/2006/picture">
                <pic:pic xmlns:pic="http://schemas.openxmlformats.org/drawingml/2006/picture">
                  <pic:nvPicPr>
                    <pic:cNvPr id="1073741828" name="Снимок экрана 2026-04-12 в 14.45.44.png" descr="Снимок экрана 2026-04-12 в 14.45.44.png"/>
                    <pic:cNvPicPr>
                      <a:picLocks noChangeAspect="1"/>
                    </pic:cNvPicPr>
                  </pic:nvPicPr>
                  <pic:blipFill>
                    <a:blip r:embed="rId7">
                      <a:extLst/>
                    </a:blip>
                    <a:stretch>
                      <a:fillRect/>
                    </a:stretch>
                  </pic:blipFill>
                  <pic:spPr>
                    <a:xfrm>
                      <a:off x="0" y="0"/>
                      <a:ext cx="4086393" cy="5386077"/>
                    </a:xfrm>
                    <a:prstGeom prst="rect">
                      <a:avLst/>
                    </a:prstGeom>
                    <a:ln w="12700" cap="flat">
                      <a:noFill/>
                      <a:miter lim="400000"/>
                    </a:ln>
                    <a:effectLst/>
                  </pic:spPr>
                </pic:pic>
              </a:graphicData>
            </a:graphic>
          </wp:anchor>
        </w:drawing>
      </w:r>
    </w:p>
    <w:p>
      <w:pPr>
        <w:pStyle w:val="Основной текст"/>
      </w:pPr>
      <w:r>
        <w:rPr>
          <w:rFonts w:ascii="Arial Unicode MS" w:cs="Arial Unicode MS" w:hAnsi="Arial Unicode MS" w:eastAsia="Arial Unicode MS"/>
          <w:b w:val="0"/>
          <w:bCs w:val="0"/>
          <w:i w:val="0"/>
          <w:iCs w:val="0"/>
        </w:rPr>
        <w:br w:type="page"/>
      </w:r>
    </w:p>
    <w:p>
      <w:pPr>
        <w:pStyle w:val="Рубрика 2"/>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Task 4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AMM Mathematical Analysis</w:t>
      </w:r>
    </w:p>
    <w:p>
      <w:pPr>
        <w:pStyle w:val="Основной текст"/>
      </w:pPr>
    </w:p>
    <w:p>
      <w:pPr>
        <w:pStyle w:val="Основной текст"/>
        <w:rPr>
          <w:b w:val="1"/>
          <w:bCs w:val="1"/>
        </w:rPr>
      </w:pPr>
      <w:r>
        <w:rPr>
          <w:b w:val="1"/>
          <w:bCs w:val="1"/>
          <w:rtl w:val="0"/>
          <w:lang w:val="en-US"/>
        </w:rPr>
        <w:t xml:space="preserve"> Constant Product Formula Derivation</w:t>
      </w:r>
    </w:p>
    <w:p>
      <w:pPr>
        <w:pStyle w:val="Основной текст"/>
      </w:pPr>
    </w:p>
    <w:p>
      <w:pPr>
        <w:pStyle w:val="Основной текст"/>
      </w:pPr>
      <w:r>
        <w:rPr>
          <w:rtl w:val="0"/>
        </w:rPr>
        <w:t>The core mechanism of an Automated Market Maker (AMM) is based on</w:t>
      </w:r>
      <w:r>
        <w:drawing xmlns:a="http://schemas.openxmlformats.org/drawingml/2006/main">
          <wp:anchor distT="152400" distB="152400" distL="152400" distR="152400" simplePos="0" relativeHeight="251661312" behindDoc="0" locked="0" layoutInCell="1" allowOverlap="1">
            <wp:simplePos x="0" y="0"/>
            <wp:positionH relativeFrom="page">
              <wp:posOffset>910787</wp:posOffset>
            </wp:positionH>
            <wp:positionV relativeFrom="page">
              <wp:posOffset>914399</wp:posOffset>
            </wp:positionV>
            <wp:extent cx="5486400" cy="4260777"/>
            <wp:effectExtent l="0" t="0" r="0" b="0"/>
            <wp:wrapThrough wrapText="bothSides" distL="152400" distR="152400">
              <wp:wrapPolygon edited="1">
                <wp:start x="0" y="0"/>
                <wp:lineTo x="21600" y="0"/>
                <wp:lineTo x="21600" y="21620"/>
                <wp:lineTo x="0" y="21620"/>
                <wp:lineTo x="0" y="0"/>
              </wp:wrapPolygon>
            </wp:wrapThrough>
            <wp:docPr id="1073741829" name="officeArt object" descr="image3.png"/>
            <wp:cNvGraphicFramePr/>
            <a:graphic xmlns:a="http://schemas.openxmlformats.org/drawingml/2006/main">
              <a:graphicData uri="http://schemas.openxmlformats.org/drawingml/2006/picture">
                <pic:pic xmlns:pic="http://schemas.openxmlformats.org/drawingml/2006/picture">
                  <pic:nvPicPr>
                    <pic:cNvPr id="1073741829" name="image3.png" descr="image3.png"/>
                    <pic:cNvPicPr>
                      <a:picLocks noChangeAspect="1"/>
                    </pic:cNvPicPr>
                  </pic:nvPicPr>
                  <pic:blipFill>
                    <a:blip r:embed="rId8">
                      <a:extLst/>
                    </a:blip>
                    <a:stretch>
                      <a:fillRect/>
                    </a:stretch>
                  </pic:blipFill>
                  <pic:spPr>
                    <a:xfrm>
                      <a:off x="0" y="0"/>
                      <a:ext cx="5486400" cy="4260777"/>
                    </a:xfrm>
                    <a:prstGeom prst="rect">
                      <a:avLst/>
                    </a:prstGeom>
                    <a:ln w="12700" cap="flat">
                      <a:noFill/>
                      <a:miter lim="400000"/>
                    </a:ln>
                    <a:effectLst/>
                  </pic:spPr>
                </pic:pic>
              </a:graphicData>
            </a:graphic>
          </wp:anchor>
        </w:drawing>
      </w:r>
      <w:r>
        <w:rPr>
          <w:rtl w:val="0"/>
        </w:rPr>
        <w:t xml:space="preserve"> the constant product formula:</w:t>
      </w:r>
    </w:p>
    <w:p>
      <w:pPr>
        <w:pStyle w:val="Основной текст"/>
      </w:pPr>
    </w:p>
    <w:p>
      <w:pPr>
        <w:pStyle w:val="Основной текст"/>
      </w:pPr>
      <w:r>
        <w:rPr>
          <w:rtl w:val="0"/>
          <w:lang w:val="fr-FR"/>
        </w:rPr>
        <w:t>x * y = k</w:t>
      </w:r>
    </w:p>
    <w:p>
      <w:pPr>
        <w:pStyle w:val="Основной текст"/>
      </w:pPr>
    </w:p>
    <w:p>
      <w:pPr>
        <w:pStyle w:val="Основной текст"/>
      </w:pPr>
      <w:r>
        <w:rPr>
          <w:rtl w:val="0"/>
        </w:rPr>
        <w:t>Where:</w:t>
      </w:r>
    </w:p>
    <w:p>
      <w:pPr>
        <w:pStyle w:val="Основной текст"/>
      </w:pPr>
      <w:r>
        <w:rPr>
          <w:rtl w:val="0"/>
        </w:rPr>
        <w:t>x represents the reserve of token A</w:t>
      </w:r>
    </w:p>
    <w:p>
      <w:pPr>
        <w:pStyle w:val="Основной текст"/>
      </w:pPr>
      <w:r>
        <w:rPr>
          <w:rtl w:val="0"/>
        </w:rPr>
        <w:t>y represents the reserve of token B</w:t>
      </w:r>
    </w:p>
    <w:p>
      <w:pPr>
        <w:pStyle w:val="Основной текст"/>
      </w:pPr>
      <w:r>
        <w:rPr>
          <w:rtl w:val="0"/>
        </w:rPr>
        <w:t>k is a constant</w:t>
      </w:r>
    </w:p>
    <w:p>
      <w:pPr>
        <w:pStyle w:val="Основной текст"/>
      </w:pPr>
    </w:p>
    <w:p>
      <w:pPr>
        <w:pStyle w:val="Основной текст"/>
      </w:pPr>
      <w:r>
        <w:rPr>
          <w:rtl w:val="0"/>
        </w:rPr>
        <w:t>This formula ensures that the product of reserves remains constant after every trade. When a user swaps tokens, one reserve increases while the other decreases, but the product remains the same or increases slightly due to fees.</w:t>
      </w:r>
    </w:p>
    <w:p>
      <w:pPr>
        <w:pStyle w:val="Основной текст"/>
      </w:pPr>
    </w:p>
    <w:p>
      <w:pPr>
        <w:pStyle w:val="Основной текст"/>
      </w:pPr>
      <w:r>
        <w:rPr>
          <w:rtl w:val="0"/>
        </w:rPr>
        <w:t>The reason this works is that it creates a self-adjusting pricing mechanism. As one token becomes scarce, its price increases automatically. This eliminates the need for an order book and allows continuous trading.</w:t>
      </w:r>
    </w:p>
    <w:p>
      <w:pPr>
        <w:pStyle w:val="Основной текст"/>
        <w:rPr>
          <w:b w:val="1"/>
          <w:bCs w:val="1"/>
        </w:rPr>
      </w:pPr>
      <w:r>
        <w:rPr>
          <w:b w:val="1"/>
          <w:bCs w:val="1"/>
          <w:rtl w:val="0"/>
          <w:lang w:val="en-US"/>
        </w:rPr>
        <w:t xml:space="preserve"> Effect of 0.3% Fee on k</w:t>
      </w:r>
    </w:p>
    <w:p>
      <w:pPr>
        <w:pStyle w:val="Основной текст"/>
      </w:pPr>
    </w:p>
    <w:p>
      <w:pPr>
        <w:pStyle w:val="Основной текст"/>
      </w:pPr>
      <w:r>
        <w:rPr>
          <w:rtl w:val="0"/>
        </w:rPr>
        <w:t>In most AMMs, including Uniswap, a 0.3% fee is applied to each trade.</w:t>
      </w:r>
    </w:p>
    <w:p>
      <w:pPr>
        <w:pStyle w:val="Основной текст"/>
      </w:pPr>
    </w:p>
    <w:p>
      <w:pPr>
        <w:pStyle w:val="Основной текст"/>
      </w:pPr>
      <w:r>
        <w:rPr>
          <w:rtl w:val="0"/>
        </w:rPr>
        <w:t>The swap formula becomes:</w:t>
      </w:r>
    </w:p>
    <w:p>
      <w:pPr>
        <w:pStyle w:val="Основной текст"/>
      </w:pPr>
    </w:p>
    <w:p>
      <w:pPr>
        <w:pStyle w:val="Основной текст"/>
      </w:pPr>
      <w:r>
        <w:rPr>
          <w:rtl w:val="0"/>
        </w:rPr>
        <w:t>amountOut = (amountIn * 997 * reserveOut) / (reserveIn * 1000 + amountIn * 997)</w:t>
      </w:r>
    </w:p>
    <w:p>
      <w:pPr>
        <w:pStyle w:val="Основной текст"/>
      </w:pPr>
    </w:p>
    <w:p>
      <w:pPr>
        <w:pStyle w:val="Основной текст"/>
      </w:pPr>
      <w:r>
        <w:rPr>
          <w:rtl w:val="0"/>
        </w:rPr>
        <w:t>The fee (0.3%) is retained inside the pool, meaning:</w:t>
      </w:r>
    </w:p>
    <w:p>
      <w:pPr>
        <w:pStyle w:val="Основной текст"/>
      </w:pPr>
    </w:p>
    <w:p>
      <w:pPr>
        <w:pStyle w:val="Основной текст"/>
      </w:pPr>
      <w:r>
        <w:rPr>
          <w:rtl w:val="0"/>
        </w:rPr>
        <w:t>k_after &gt; k_before</w:t>
      </w:r>
    </w:p>
    <w:p>
      <w:pPr>
        <w:pStyle w:val="Основной текст"/>
      </w:pPr>
    </w:p>
    <w:p>
      <w:pPr>
        <w:pStyle w:val="Основной текст"/>
      </w:pPr>
      <w:r>
        <w:rPr>
          <w:rtl w:val="0"/>
        </w:rPr>
        <w:t>This is important because:</w:t>
      </w:r>
    </w:p>
    <w:p>
      <w:pPr>
        <w:pStyle w:val="Основной текст"/>
      </w:pPr>
      <w:r>
        <w:rPr>
          <w:rtl w:val="0"/>
        </w:rPr>
        <w:tab/>
        <w:t>It increases the total value locked (TVL)</w:t>
      </w:r>
    </w:p>
    <w:p>
      <w:pPr>
        <w:pStyle w:val="Основной текст"/>
      </w:pPr>
      <w:r>
        <w:rPr>
          <w:rtl w:val="0"/>
        </w:rPr>
        <w:tab/>
        <w:t>It rewards liquidity providers</w:t>
      </w:r>
    </w:p>
    <w:p>
      <w:pPr>
        <w:pStyle w:val="Основной текст"/>
      </w:pPr>
      <w:r>
        <w:rPr>
          <w:rtl w:val="0"/>
        </w:rPr>
        <w:tab/>
        <w:t>It makes the system sustainable</w:t>
      </w:r>
    </w:p>
    <w:p>
      <w:pPr>
        <w:pStyle w:val="Основной текст"/>
      </w:pPr>
    </w:p>
    <w:p>
      <w:pPr>
        <w:pStyle w:val="Основной текст"/>
      </w:pPr>
      <w:r>
        <w:rPr>
          <w:rtl w:val="0"/>
        </w:rPr>
        <w:t>Over time, as more trades happen, the value of k increases due to accumulated fees.</w:t>
      </w:r>
    </w:p>
    <w:p>
      <w:pPr>
        <w:pStyle w:val="Основной текст"/>
      </w:pPr>
    </w:p>
    <w:p>
      <w:pPr>
        <w:pStyle w:val="Основной текст"/>
        <w:rPr>
          <w:b w:val="1"/>
          <w:bCs w:val="1"/>
        </w:rPr>
      </w:pPr>
      <w:r>
        <w:rPr>
          <w:b w:val="1"/>
          <w:bCs w:val="1"/>
          <w:rtl w:val="0"/>
        </w:rPr>
        <w:t xml:space="preserve"> Impermanent Loss</w:t>
      </w:r>
    </w:p>
    <w:p>
      <w:pPr>
        <w:pStyle w:val="Основной текст"/>
      </w:pPr>
      <w:r>
        <w:rPr>
          <w:rtl w:val="0"/>
        </w:rPr>
        <w:t>Impermanent loss (IL) occurs when the price of tokens changes compared to when they were deposited.</w:t>
      </w:r>
    </w:p>
    <w:p>
      <w:pPr>
        <w:pStyle w:val="Основной текст"/>
      </w:pPr>
    </w:p>
    <w:p>
      <w:pPr>
        <w:pStyle w:val="Основной текст"/>
      </w:pPr>
      <w:r>
        <w:rPr>
          <w:rtl w:val="0"/>
        </w:rPr>
        <w:t>The formula for impermanent loss is:</w:t>
      </w:r>
    </w:p>
    <w:p>
      <w:pPr>
        <w:pStyle w:val="Основной текст"/>
      </w:pPr>
    </w:p>
    <w:p>
      <w:pPr>
        <w:pStyle w:val="Основной текст"/>
      </w:pPr>
      <w:r>
        <w:rPr>
          <w:rtl w:val="0"/>
        </w:rPr>
        <w:t>IL = 2</w:t>
      </w:r>
      <w:r>
        <w:rPr>
          <w:rtl w:val="0"/>
        </w:rPr>
        <w:t>√</w:t>
      </w:r>
      <w:r>
        <w:rPr>
          <w:rtl w:val="0"/>
        </w:rPr>
        <w:t xml:space="preserve">P / (1 + P) </w:t>
      </w:r>
      <w:r>
        <w:rPr>
          <w:rtl w:val="0"/>
        </w:rPr>
        <w:t xml:space="preserve">− </w:t>
      </w:r>
      <w:r>
        <w:rPr>
          <w:rtl w:val="0"/>
        </w:rPr>
        <w:t>1</w:t>
      </w:r>
    </w:p>
    <w:p>
      <w:pPr>
        <w:pStyle w:val="Основной текст"/>
      </w:pPr>
    </w:p>
    <w:p>
      <w:pPr>
        <w:pStyle w:val="Основной текст"/>
      </w:pPr>
      <w:r>
        <w:rPr>
          <w:rtl w:val="0"/>
        </w:rPr>
        <w:t>Where P is the price ratio change.</w:t>
      </w:r>
    </w:p>
    <w:p>
      <w:pPr>
        <w:pStyle w:val="Основной текст"/>
      </w:pPr>
    </w:p>
    <w:p>
      <w:pPr>
        <w:pStyle w:val="Основной текст"/>
      </w:pPr>
      <w:r>
        <w:rPr>
          <w:rtl w:val="0"/>
        </w:rPr>
        <w:t>Example: 2x price change</w:t>
      </w:r>
    </w:p>
    <w:p>
      <w:pPr>
        <w:pStyle w:val="Основной текст"/>
      </w:pPr>
    </w:p>
    <w:p>
      <w:pPr>
        <w:pStyle w:val="Основной текст"/>
      </w:pPr>
      <w:r>
        <w:rPr>
          <w:rtl w:val="0"/>
        </w:rPr>
        <w:t>If the price doubles (P = 2):</w:t>
      </w:r>
    </w:p>
    <w:p>
      <w:pPr>
        <w:pStyle w:val="Основной текст"/>
      </w:pPr>
    </w:p>
    <w:p>
      <w:pPr>
        <w:pStyle w:val="Основной текст"/>
      </w:pPr>
      <w:r>
        <w:rPr>
          <w:rtl w:val="0"/>
        </w:rPr>
        <w:t>IL = 2</w:t>
      </w:r>
      <w:r>
        <w:rPr>
          <w:rtl w:val="0"/>
        </w:rPr>
        <w:t>√</w:t>
      </w:r>
      <w:r>
        <w:rPr>
          <w:rtl w:val="0"/>
        </w:rPr>
        <w:t xml:space="preserve">2 / (1 + 2) </w:t>
      </w:r>
      <w:r>
        <w:rPr>
          <w:rtl w:val="0"/>
        </w:rPr>
        <w:t xml:space="preserve">− </w:t>
      </w:r>
      <w:r>
        <w:rPr>
          <w:rtl w:val="0"/>
        </w:rPr>
        <w:t>1</w:t>
      </w:r>
    </w:p>
    <w:p>
      <w:pPr>
        <w:pStyle w:val="Основной текст"/>
      </w:pPr>
      <w:r>
        <w:rPr>
          <w:rtl w:val="0"/>
        </w:rPr>
        <w:t xml:space="preserve">IL </w:t>
      </w:r>
      <w:r>
        <w:rPr>
          <w:rtl w:val="0"/>
        </w:rPr>
        <w:t xml:space="preserve">≈ </w:t>
      </w:r>
      <w:r>
        <w:rPr>
          <w:rtl w:val="0"/>
        </w:rPr>
        <w:t xml:space="preserve">2 * 1.414 / 3 </w:t>
      </w:r>
      <w:r>
        <w:rPr>
          <w:rtl w:val="0"/>
        </w:rPr>
        <w:t xml:space="preserve">− </w:t>
      </w:r>
      <w:r>
        <w:rPr>
          <w:rtl w:val="0"/>
        </w:rPr>
        <w:t>1</w:t>
      </w:r>
    </w:p>
    <w:p>
      <w:pPr>
        <w:pStyle w:val="Основной текст"/>
      </w:pPr>
      <w:r>
        <w:rPr>
          <w:rtl w:val="0"/>
        </w:rPr>
        <w:t xml:space="preserve">IL </w:t>
      </w:r>
      <w:r>
        <w:rPr>
          <w:rtl w:val="0"/>
        </w:rPr>
        <w:t xml:space="preserve">≈ </w:t>
      </w:r>
      <w:r>
        <w:rPr>
          <w:rtl w:val="0"/>
        </w:rPr>
        <w:t xml:space="preserve">0.943 </w:t>
      </w:r>
      <w:r>
        <w:rPr>
          <w:rtl w:val="0"/>
        </w:rPr>
        <w:t xml:space="preserve">− </w:t>
      </w:r>
      <w:r>
        <w:rPr>
          <w:rtl w:val="0"/>
        </w:rPr>
        <w:t>1</w:t>
      </w:r>
    </w:p>
    <w:p>
      <w:pPr>
        <w:pStyle w:val="Основной текст"/>
      </w:pPr>
      <w:r>
        <w:rPr>
          <w:rtl w:val="0"/>
        </w:rPr>
        <w:t xml:space="preserve">IL </w:t>
      </w:r>
      <w:r>
        <w:rPr>
          <w:rtl w:val="0"/>
        </w:rPr>
        <w:t xml:space="preserve">≈ </w:t>
      </w:r>
      <w:r>
        <w:rPr>
          <w:rtl w:val="0"/>
          <w:lang w:val="pt-PT"/>
        </w:rPr>
        <w:t>-0.057</w:t>
      </w:r>
    </w:p>
    <w:p>
      <w:pPr>
        <w:pStyle w:val="Основной текст"/>
      </w:pPr>
    </w:p>
    <w:p>
      <w:pPr>
        <w:pStyle w:val="Основной текст"/>
      </w:pPr>
      <w:r>
        <w:rPr>
          <w:rtl w:val="0"/>
        </w:rPr>
        <w:t>So the impermanent loss is approximately -5.7%</w:t>
      </w:r>
    </w:p>
    <w:p>
      <w:pPr>
        <w:pStyle w:val="Основной текст"/>
      </w:pPr>
    </w:p>
    <w:p>
      <w:pPr>
        <w:pStyle w:val="Основной текст"/>
      </w:pPr>
      <w:r>
        <w:rPr>
          <w:rtl w:val="0"/>
        </w:rPr>
        <w:t>This means liquidity providers earn less compared to simply holding tokens.</w:t>
      </w:r>
    </w:p>
    <w:p>
      <w:pPr>
        <w:pStyle w:val="Основной текст"/>
      </w:pPr>
    </w:p>
    <w:p>
      <w:pPr>
        <w:pStyle w:val="Основной текст"/>
      </w:pPr>
    </w:p>
    <w:p>
      <w:pPr>
        <w:pStyle w:val="Основной текст"/>
        <w:rPr>
          <w:b w:val="1"/>
          <w:bCs w:val="1"/>
        </w:rPr>
      </w:pPr>
      <w:r>
        <w:rPr>
          <w:b w:val="1"/>
          <w:bCs w:val="1"/>
          <w:rtl w:val="0"/>
          <w:lang w:val="en-US"/>
        </w:rPr>
        <w:t>Price Impact</w:t>
      </w:r>
    </w:p>
    <w:p>
      <w:pPr>
        <w:pStyle w:val="Основной текст"/>
      </w:pPr>
      <w:r>
        <w:rPr>
          <w:rtl w:val="0"/>
        </w:rPr>
        <w:t>Price impact depends on the trade size relative to pool reserves.</w:t>
      </w:r>
    </w:p>
    <w:p>
      <w:pPr>
        <w:pStyle w:val="Основной текст"/>
      </w:pPr>
      <w:r>
        <w:rPr>
          <w:rtl w:val="0"/>
        </w:rPr>
        <w:t>From the formula:</w:t>
      </w:r>
    </w:p>
    <w:p>
      <w:pPr>
        <w:pStyle w:val="Основной текст"/>
      </w:pPr>
      <w:r>
        <w:rPr>
          <w:rtl w:val="0"/>
        </w:rPr>
        <w:t xml:space="preserve">amountOut </w:t>
      </w:r>
      <w:r>
        <w:rPr>
          <w:rFonts w:ascii="Arial Unicode MS" w:cs="Arial Unicode MS" w:hAnsi="Arial Unicode MS" w:eastAsia="Arial Unicode MS" w:hint="default"/>
          <w:b w:val="0"/>
          <w:bCs w:val="0"/>
          <w:i w:val="0"/>
          <w:iCs w:val="0"/>
          <w:rtl w:val="0"/>
        </w:rPr>
        <w:t>∝</w:t>
      </w:r>
      <w:r>
        <w:rPr>
          <w:rtl w:val="0"/>
        </w:rPr>
        <w:t xml:space="preserve"> </w:t>
      </w:r>
      <w:r>
        <w:rPr>
          <w:rtl w:val="0"/>
        </w:rPr>
        <w:t>reserveOut / (reserveIn + amountIn)</w:t>
      </w:r>
    </w:p>
    <w:p>
      <w:pPr>
        <w:pStyle w:val="Основной текст"/>
      </w:pPr>
      <w:r>
        <w:rPr>
          <w:rtl w:val="0"/>
        </w:rPr>
        <w:t>If amountIn is small:</w:t>
      </w:r>
    </w:p>
    <w:p>
      <w:pPr>
        <w:pStyle w:val="Основной текст"/>
      </w:pPr>
      <w:r>
        <w:rPr>
          <w:rtl w:val="0"/>
        </w:rPr>
        <w:tab/>
        <w:t>Price impact is minimal</w:t>
      </w:r>
    </w:p>
    <w:p>
      <w:pPr>
        <w:pStyle w:val="Основной текст"/>
      </w:pPr>
      <w:r>
        <w:rPr>
          <w:rtl w:val="0"/>
        </w:rPr>
        <w:t>If amountIn is large:</w:t>
      </w:r>
    </w:p>
    <w:p>
      <w:pPr>
        <w:pStyle w:val="Основной текст"/>
      </w:pPr>
      <w:r>
        <w:rPr>
          <w:rtl w:val="0"/>
        </w:rPr>
        <w:tab/>
        <w:t>Price changes significantly</w:t>
      </w:r>
    </w:p>
    <w:p>
      <w:pPr>
        <w:pStyle w:val="Основной текст"/>
      </w:pPr>
      <w:r>
        <w:rPr>
          <w:rtl w:val="0"/>
        </w:rPr>
        <w:t>This is known as slippage.</w:t>
      </w:r>
    </w:p>
    <w:p>
      <w:pPr>
        <w:pStyle w:val="Основной текст"/>
        <w:rPr>
          <w:b w:val="1"/>
          <w:bCs w:val="1"/>
        </w:rPr>
      </w:pPr>
      <w:r>
        <w:rPr>
          <w:b w:val="1"/>
          <w:bCs w:val="1"/>
          <w:rtl w:val="0"/>
          <w:lang w:val="en-US"/>
        </w:rPr>
        <w:t>Key insight:</w:t>
      </w:r>
    </w:p>
    <w:p>
      <w:pPr>
        <w:pStyle w:val="Основной текст"/>
      </w:pPr>
      <w:r>
        <w:rPr>
          <w:rtl w:val="0"/>
        </w:rPr>
        <w:tab/>
        <w:t xml:space="preserve">Small trades </w:t>
      </w:r>
      <w:r>
        <w:rPr>
          <w:rtl w:val="0"/>
        </w:rPr>
        <w:t xml:space="preserve">→ </w:t>
      </w:r>
      <w:r>
        <w:rPr>
          <w:rtl w:val="0"/>
        </w:rPr>
        <w:t>efficient pricing</w:t>
      </w:r>
    </w:p>
    <w:p>
      <w:pPr>
        <w:pStyle w:val="Основной текст"/>
      </w:pPr>
      <w:r>
        <w:rPr>
          <w:rtl w:val="0"/>
        </w:rPr>
        <w:tab/>
        <w:t xml:space="preserve">Large trades </w:t>
      </w:r>
      <w:r>
        <w:rPr>
          <w:rtl w:val="0"/>
        </w:rPr>
        <w:t xml:space="preserve">→ </w:t>
      </w:r>
      <w:r>
        <w:rPr>
          <w:rtl w:val="0"/>
        </w:rPr>
        <w:t>high slippage</w:t>
      </w:r>
    </w:p>
    <w:p>
      <w:pPr>
        <w:pStyle w:val="Основной текст"/>
      </w:pPr>
    </w:p>
    <w:p>
      <w:pPr>
        <w:pStyle w:val="Основной текст"/>
      </w:pPr>
      <w:r>
        <w:rPr>
          <w:rtl w:val="0"/>
        </w:rPr>
        <w:t>This is why liquidity depth is important in AMMs.</w:t>
      </w:r>
    </w:p>
    <w:p>
      <w:pPr>
        <w:pStyle w:val="Основной текст"/>
      </w:pPr>
    </w:p>
    <w:p>
      <w:pPr>
        <w:pStyle w:val="Основной текст"/>
        <w:rPr>
          <w:b w:val="1"/>
          <w:bCs w:val="1"/>
        </w:rPr>
      </w:pPr>
      <w:r>
        <w:rPr>
          <w:b w:val="1"/>
          <w:bCs w:val="1"/>
          <w:rtl w:val="0"/>
          <w:lang w:val="en-US"/>
        </w:rPr>
        <w:t>Comparison with Uniswap V2</w:t>
      </w:r>
    </w:p>
    <w:p>
      <w:pPr>
        <w:pStyle w:val="Основной текст"/>
      </w:pPr>
    </w:p>
    <w:p>
      <w:pPr>
        <w:pStyle w:val="Основной текст"/>
      </w:pPr>
      <w:r>
        <w:rPr>
          <w:rtl w:val="0"/>
        </w:rPr>
        <w:t>The implemented AMM is a simplified version of Uniswap.</w:t>
      </w:r>
    </w:p>
    <w:p>
      <w:pPr>
        <w:pStyle w:val="Основной текст"/>
      </w:pPr>
    </w:p>
    <w:p>
      <w:pPr>
        <w:pStyle w:val="Основной текст"/>
      </w:pPr>
      <w:r>
        <w:rPr>
          <w:rtl w:val="0"/>
        </w:rPr>
        <w:t>Missing Features:</w:t>
      </w:r>
    </w:p>
    <w:p>
      <w:pPr>
        <w:pStyle w:val="Основной текст"/>
      </w:pPr>
      <w:r>
        <w:rPr>
          <w:rtl w:val="0"/>
        </w:rPr>
        <w:tab/>
        <w:t>1.Price Oracles</w:t>
      </w:r>
    </w:p>
    <w:p>
      <w:pPr>
        <w:pStyle w:val="Основной текст"/>
      </w:pPr>
      <w:r>
        <w:rPr>
          <w:rtl w:val="0"/>
        </w:rPr>
        <w:t>Uniswap V2 includes time-weighted average price (TWAP)</w:t>
      </w:r>
    </w:p>
    <w:p>
      <w:pPr>
        <w:pStyle w:val="Основной текст"/>
      </w:pPr>
      <w:r>
        <w:rPr>
          <w:rtl w:val="0"/>
        </w:rPr>
        <w:t>The current implementation does not track price history</w:t>
      </w:r>
    </w:p>
    <w:p>
      <w:pPr>
        <w:pStyle w:val="Основной текст"/>
      </w:pPr>
      <w:r>
        <w:rPr>
          <w:rtl w:val="0"/>
          <w:lang w:val="nl-NL"/>
        </w:rPr>
        <w:tab/>
        <w:t>2.Flash Swaps</w:t>
      </w:r>
    </w:p>
    <w:p>
      <w:pPr>
        <w:pStyle w:val="Основной текст"/>
      </w:pPr>
      <w:r>
        <w:rPr>
          <w:rtl w:val="0"/>
        </w:rPr>
        <w:t>Uniswap allows borrowing tokens within one transaction</w:t>
      </w:r>
    </w:p>
    <w:p>
      <w:pPr>
        <w:pStyle w:val="Основной текст"/>
      </w:pPr>
      <w:r>
        <w:rPr>
          <w:rtl w:val="0"/>
        </w:rPr>
        <w:t>This feature is not implemented</w:t>
      </w:r>
    </w:p>
    <w:p>
      <w:pPr>
        <w:pStyle w:val="Основной текст"/>
      </w:pPr>
      <w:r>
        <w:rPr>
          <w:rtl w:val="0"/>
        </w:rPr>
        <w:tab/>
        <w:t>3.Advanced LP Accounting</w:t>
      </w:r>
    </w:p>
    <w:p>
      <w:pPr>
        <w:pStyle w:val="Основной текст"/>
      </w:pPr>
      <w:r>
        <w:rPr>
          <w:rtl w:val="0"/>
        </w:rPr>
        <w:t>Real Uniswap handles liquidity more precisely</w:t>
      </w:r>
    </w:p>
    <w:p>
      <w:pPr>
        <w:pStyle w:val="Основной текст"/>
      </w:pPr>
      <w:r>
        <w:rPr>
          <w:rtl w:val="0"/>
        </w:rPr>
        <w:t>This implementation uses simplified LP calculations</w:t>
      </w:r>
    </w:p>
    <w:p>
      <w:pPr>
        <w:pStyle w:val="Основной текст"/>
      </w:pPr>
      <w:r>
        <w:rPr>
          <w:rtl w:val="0"/>
        </w:rPr>
        <w:tab/>
        <w:t>4.Security Features</w:t>
      </w:r>
    </w:p>
    <w:p>
      <w:pPr>
        <w:pStyle w:val="Основной текст"/>
      </w:pPr>
      <w:r>
        <w:rPr>
          <w:rtl w:val="0"/>
        </w:rPr>
        <w:t>No reentrancy protection</w:t>
      </w:r>
    </w:p>
    <w:p>
      <w:pPr>
        <w:pStyle w:val="Основной текст"/>
      </w:pPr>
      <w:r>
        <w:rPr>
          <w:rtl w:val="0"/>
        </w:rPr>
        <w:t>No overflow safety checks</w:t>
      </w:r>
    </w:p>
    <w:p>
      <w:pPr>
        <w:pStyle w:val="Основной текст"/>
      </w:pPr>
      <w:r>
        <w:rPr>
          <w:rtl w:val="0"/>
        </w:rPr>
        <w:tab/>
        <w:t>5.Gas Optimization</w:t>
      </w:r>
    </w:p>
    <w:p>
      <w:pPr>
        <w:pStyle w:val="Основной текст"/>
      </w:pPr>
      <w:r>
        <w:rPr>
          <w:rtl w:val="0"/>
        </w:rPr>
        <w:t>Uniswap is optimized for efficiency</w:t>
      </w:r>
    </w:p>
    <w:p>
      <w:pPr>
        <w:pStyle w:val="Основной текст"/>
      </w:pPr>
      <w:r>
        <w:rPr>
          <w:rtl w:val="0"/>
        </w:rPr>
        <w:t>This version is simplified for learning</w:t>
      </w:r>
    </w:p>
    <w:p>
      <w:pPr>
        <w:pStyle w:val="Основной текст"/>
      </w:pPr>
    </w:p>
    <w:p>
      <w:pPr>
        <w:pStyle w:val="Основной текст"/>
        <w:rPr>
          <w:b w:val="1"/>
          <w:bCs w:val="1"/>
        </w:rPr>
      </w:pPr>
      <w:r>
        <w:rPr>
          <w:b w:val="1"/>
          <w:bCs w:val="1"/>
          <w:rtl w:val="0"/>
          <w:lang w:val="it-IT"/>
        </w:rPr>
        <w:t xml:space="preserve"> Conclusion</w:t>
      </w:r>
    </w:p>
    <w:p>
      <w:pPr>
        <w:pStyle w:val="Основной текст"/>
      </w:pPr>
    </w:p>
    <w:p>
      <w:pPr>
        <w:pStyle w:val="Основной текст"/>
      </w:pPr>
      <w:r>
        <w:rPr>
          <w:rtl w:val="0"/>
        </w:rPr>
        <w:t>The constant product AMM model provides a simple yet powerful way to enable decentralized trading.</w:t>
      </w:r>
    </w:p>
    <w:p>
      <w:pPr>
        <w:pStyle w:val="Основной текст"/>
      </w:pPr>
      <w:r>
        <w:rPr>
          <w:rtl w:val="0"/>
        </w:rPr>
        <w:t>The formula x * y = k ensures continuous liquidity and automatic price adjustment.</w:t>
      </w:r>
    </w:p>
    <w:p>
      <w:pPr>
        <w:pStyle w:val="Основной текст"/>
      </w:pPr>
    </w:p>
    <w:p>
      <w:pPr>
        <w:pStyle w:val="Основной текст"/>
      </w:pPr>
      <w:r>
        <w:rPr>
          <w:rtl w:val="0"/>
        </w:rPr>
        <w:t>Fees increase the value of the pool over time, while impermanent loss represents a trade-off for liquidity providers.</w:t>
      </w:r>
    </w:p>
    <w:p>
      <w:pPr>
        <w:pStyle w:val="Основной текст"/>
      </w:pPr>
    </w:p>
    <w:p>
      <w:pPr>
        <w:pStyle w:val="Основной текст"/>
      </w:pPr>
      <w:r>
        <w:rPr>
          <w:rtl w:val="0"/>
        </w:rPr>
        <w:t>Although the implementation is simplified, it captures the essential mechanics of real-world DeFi protocols such as Uniswap and provides a strong foundation for understanding decentralized exchanges.</w:t>
      </w:r>
    </w:p>
    <w:p>
      <w:pPr>
        <w:pStyle w:val="Основной текст"/>
      </w:pPr>
    </w:p>
    <w:p>
      <w:pPr>
        <w:pStyle w:val="Рубрика 2"/>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Task 5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Lending Protocol Diagram</w:t>
      </w:r>
    </w:p>
    <w:p>
      <w:pPr>
        <w:pStyle w:val="Основной текст"/>
      </w:pPr>
    </w:p>
    <w:p>
      <w:pPr>
        <w:pStyle w:val="Основной текст"/>
      </w:pPr>
      <w:r>
        <w:rPr>
          <w:rtl w:val="0"/>
        </w:rPr>
        <w:t>In this task, a simplified lending protocol was implemented to simulate how decentralized lending platforms operate. The system allows users to deposit tokens as collateral, borrow against their deposits, repay loans, withdraw collateral, and perform liquidation of unsafe positions.</w:t>
      </w:r>
    </w:p>
    <w:p>
      <w:pPr>
        <w:pStyle w:val="Основной текст"/>
      </w:pPr>
    </w:p>
    <w:p>
      <w:pPr>
        <w:pStyle w:val="Основной текст"/>
      </w:pPr>
      <w:r>
        <w:rPr>
          <w:rtl w:val="0"/>
        </w:rPr>
        <w:t>The protocol is based on a loan-to-value (LTV) ratio of 75%. This means that users can borrow up to 75% of the value of their deposited collateral. This restriction ensures that all loans remain overcollateralized and reduces the risk of insolvency.</w:t>
      </w:r>
    </w:p>
    <w:p>
      <w:pPr>
        <w:pStyle w:val="Основной текст"/>
      </w:pPr>
    </w:p>
    <w:p>
      <w:pPr>
        <w:pStyle w:val="Основной текст"/>
      </w:pPr>
      <w:r>
        <w:rPr>
          <w:rtl w:val="0"/>
        </w:rPr>
        <w:t>The main functions implemented in the lending pool include deposit, borrow, repay, withdraw, and liquidate. When a user deposits tokens, their balance is recorded as collateral. Based on this collateral, the user can borrow tokens within the allowed LTV limit. The borrow function ensures that users cannot exceed this limit.</w:t>
      </w:r>
    </w:p>
    <w:p>
      <w:pPr>
        <w:pStyle w:val="Основной текст"/>
      </w:pPr>
    </w:p>
    <w:p>
      <w:pPr>
        <w:pStyle w:val="Основной текст"/>
      </w:pPr>
      <w:r>
        <w:rPr>
          <w:rtl w:val="0"/>
        </w:rPr>
        <w:t>The repay function allows users to return borrowed tokens, reducing their debt. After</w:t>
      </w:r>
      <w:r>
        <w:drawing xmlns:a="http://schemas.openxmlformats.org/drawingml/2006/main">
          <wp:anchor distT="152400" distB="152400" distL="152400" distR="152400" simplePos="0" relativeHeight="251663360" behindDoc="0" locked="0" layoutInCell="1" allowOverlap="1">
            <wp:simplePos x="0" y="0"/>
            <wp:positionH relativeFrom="margin">
              <wp:posOffset>184865</wp:posOffset>
            </wp:positionH>
            <wp:positionV relativeFrom="page">
              <wp:posOffset>914400</wp:posOffset>
            </wp:positionV>
            <wp:extent cx="5295185" cy="5486400"/>
            <wp:effectExtent l="0" t="0" r="0" b="0"/>
            <wp:wrapThrough wrapText="bothSides" distL="152400" distR="152400">
              <wp:wrapPolygon edited="1">
                <wp:start x="0" y="0"/>
                <wp:lineTo x="21615" y="0"/>
                <wp:lineTo x="21615" y="21621"/>
                <wp:lineTo x="0" y="21621"/>
                <wp:lineTo x="0" y="0"/>
              </wp:wrapPolygon>
            </wp:wrapThrough>
            <wp:docPr id="1073741830" name="officeArt object" descr="Снимок экрана 2026-04-12 в 15.09.57.png"/>
            <wp:cNvGraphicFramePr/>
            <a:graphic xmlns:a="http://schemas.openxmlformats.org/drawingml/2006/main">
              <a:graphicData uri="http://schemas.openxmlformats.org/drawingml/2006/picture">
                <pic:pic xmlns:pic="http://schemas.openxmlformats.org/drawingml/2006/picture">
                  <pic:nvPicPr>
                    <pic:cNvPr id="1073741830" name="Снимок экрана 2026-04-12 в 15.09.57.png" descr="Снимок экрана 2026-04-12 в 15.09.57.png"/>
                    <pic:cNvPicPr>
                      <a:picLocks noChangeAspect="1"/>
                    </pic:cNvPicPr>
                  </pic:nvPicPr>
                  <pic:blipFill>
                    <a:blip r:embed="rId9">
                      <a:extLst/>
                    </a:blip>
                    <a:stretch>
                      <a:fillRect/>
                    </a:stretch>
                  </pic:blipFill>
                  <pic:spPr>
                    <a:xfrm>
                      <a:off x="0" y="0"/>
                      <a:ext cx="5295185" cy="5486400"/>
                    </a:xfrm>
                    <a:prstGeom prst="rect">
                      <a:avLst/>
                    </a:prstGeom>
                    <a:ln w="12700" cap="flat">
                      <a:noFill/>
                      <a:miter lim="400000"/>
                    </a:ln>
                    <a:effectLst/>
                  </pic:spPr>
                </pic:pic>
              </a:graphicData>
            </a:graphic>
          </wp:anchor>
        </w:drawing>
      </w:r>
      <w:r>
        <w:rPr>
          <w:rtl w:val="0"/>
        </w:rPr>
        <w:t xml:space="preserve"> repayment, users can withdraw their collateral, provided that their remaining borrow position still satisfies the LTV requirement.</w:t>
      </w:r>
    </w:p>
    <w:p>
      <w:pPr>
        <w:pStyle w:val="Основной текст"/>
      </w:pPr>
    </w:p>
    <w:p>
      <w:pPr>
        <w:pStyle w:val="Основной текст"/>
      </w:pPr>
      <w:r>
        <w:rPr>
          <w:rtl w:val="0"/>
        </w:rPr>
        <w:t>A key component of the system is the liquidation mechanism. If a user</w:t>
      </w:r>
      <w:r>
        <w:rPr>
          <w:rtl w:val="1"/>
        </w:rPr>
        <w:t>’</w:t>
      </w:r>
      <w:r>
        <w:rPr>
          <w:rtl w:val="0"/>
        </w:rPr>
        <w:t>s borrow position becomes unsafe (i.e., the borrowed amount is equal to or exceeds the allowed limit), any external user can trigger liquidation. During liquidation, the borrower</w:t>
      </w:r>
      <w:r>
        <w:rPr>
          <w:rtl w:val="1"/>
        </w:rPr>
        <w:t>’</w:t>
      </w:r>
      <w:r>
        <w:rPr>
          <w:rtl w:val="0"/>
        </w:rPr>
        <w:t>s collateral is seized and transferred to the liquidator. This mechanism ensures that the protocol remains solvent and protected from bad debt.</w:t>
      </w:r>
    </w:p>
    <w:p>
      <w:pPr>
        <w:pStyle w:val="Основной текст"/>
      </w:pPr>
    </w:p>
    <w:p>
      <w:pPr>
        <w:pStyle w:val="Основной текст"/>
      </w:pPr>
      <w:r>
        <w:rPr>
          <w:rtl w:val="0"/>
        </w:rPr>
        <w:t>The protocol was tested using unit tests, fuzz testing, and edge case scenarios. The tests verified correct behavior for deposits, borrowing limits, repayments, withdrawals, and liquidation conditions.</w:t>
      </w:r>
    </w:p>
    <w:p>
      <w:pPr>
        <w:pStyle w:val="Основной текст"/>
      </w:pPr>
    </w:p>
    <w:p>
      <w:pPr>
        <w:pStyle w:val="Основной текст"/>
      </w:pPr>
      <w:r>
        <w:rPr>
          <w:rtl w:val="0"/>
        </w:rPr>
        <w:t>Overall, this task demonstrates the core principles of decentralized lending systems and provides a simplified model of real-world protocols such as Aave and Compound.</w:t>
      </w:r>
      <w:r>
        <w:drawing xmlns:a="http://schemas.openxmlformats.org/drawingml/2006/main">
          <wp:anchor distT="152400" distB="152400" distL="152400" distR="152400" simplePos="0" relativeHeight="251662336" behindDoc="0" locked="0" layoutInCell="1" allowOverlap="1">
            <wp:simplePos x="0" y="0"/>
            <wp:positionH relativeFrom="margin">
              <wp:posOffset>-849256</wp:posOffset>
            </wp:positionH>
            <wp:positionV relativeFrom="line">
              <wp:posOffset>516972</wp:posOffset>
            </wp:positionV>
            <wp:extent cx="7172213" cy="6429928"/>
            <wp:effectExtent l="0" t="0" r="0" b="0"/>
            <wp:wrapThrough wrapText="bothSides" distL="152400" distR="152400">
              <wp:wrapPolygon edited="1">
                <wp:start x="0" y="0"/>
                <wp:lineTo x="21600" y="0"/>
                <wp:lineTo x="21600" y="21623"/>
                <wp:lineTo x="0" y="21623"/>
                <wp:lineTo x="0" y="0"/>
              </wp:wrapPolygon>
            </wp:wrapThrough>
            <wp:docPr id="1073741831" name="officeArt object" descr="Снимок экрана 2026-04-12 в 15.21.13.png"/>
            <wp:cNvGraphicFramePr/>
            <a:graphic xmlns:a="http://schemas.openxmlformats.org/drawingml/2006/main">
              <a:graphicData uri="http://schemas.openxmlformats.org/drawingml/2006/picture">
                <pic:pic xmlns:pic="http://schemas.openxmlformats.org/drawingml/2006/picture">
                  <pic:nvPicPr>
                    <pic:cNvPr id="1073741831" name="Снимок экрана 2026-04-12 в 15.21.13.png" descr="Снимок экрана 2026-04-12 в 15.21.13.png"/>
                    <pic:cNvPicPr>
                      <a:picLocks noChangeAspect="1"/>
                    </pic:cNvPicPr>
                  </pic:nvPicPr>
                  <pic:blipFill>
                    <a:blip r:embed="rId10">
                      <a:extLst/>
                    </a:blip>
                    <a:stretch>
                      <a:fillRect/>
                    </a:stretch>
                  </pic:blipFill>
                  <pic:spPr>
                    <a:xfrm>
                      <a:off x="0" y="0"/>
                      <a:ext cx="7172213" cy="6429928"/>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Основной текст"/>
      </w:pPr>
    </w:p>
    <w:p>
      <w:pPr>
        <w:pStyle w:val="Основной текст"/>
      </w:pPr>
      <w:r>
        <w:rPr>
          <w:rtl w:val="0"/>
        </w:rPr>
        <w:t>The diagram illustrates the workflow of the lending protocol and shows how users interact with the system.</w:t>
      </w:r>
    </w:p>
    <w:p>
      <w:pPr>
        <w:pStyle w:val="Основной текст"/>
      </w:pPr>
    </w:p>
    <w:p>
      <w:pPr>
        <w:pStyle w:val="Основной текст"/>
      </w:pPr>
      <w:r>
        <w:rPr>
          <w:rtl w:val="0"/>
        </w:rPr>
        <w:t>The process begins when a user deposits tokens into the lending pool. These tokens are stored as collateral and determine how much the user can borrow. After depositing, the user is allowed to borrow tokens based on the predefined loan-to-value ratio.</w:t>
      </w:r>
    </w:p>
    <w:sectPr>
      <w:headerReference w:type="default" r:id="rId11"/>
      <w:footerReference w:type="default" r:id="rId12"/>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fr-FR"/>
      <w14:textOutline>
        <w14:noFill/>
      </w14:textOutline>
      <w14:textFill>
        <w14:solidFill>
          <w14:srgbClr w14:val="365F91"/>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