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F503" w14:textId="77777777" w:rsidR="001E2E85" w:rsidRDefault="001E2E85">
      <w:pPr>
        <w:spacing w:before="480" w:after="60"/>
        <w:jc w:val="center"/>
        <w:rPr>
          <w:b/>
          <w:color w:val="0D1B2A"/>
          <w:sz w:val="28"/>
        </w:rPr>
      </w:pPr>
    </w:p>
    <w:p w14:paraId="15744050" w14:textId="54D1196B" w:rsidR="001E2E85" w:rsidRDefault="00000000">
      <w:pPr>
        <w:spacing w:before="480" w:after="60"/>
        <w:jc w:val="center"/>
        <w:rPr>
          <w:b/>
          <w:bCs/>
          <w:color w:val="46505F"/>
          <w:sz w:val="28"/>
          <w:szCs w:val="28"/>
        </w:rPr>
      </w:pPr>
      <w:r>
        <w:rPr>
          <w:b/>
          <w:color w:val="0D1B2A"/>
          <w:sz w:val="28"/>
        </w:rPr>
        <w:t>KPR INSTITUTE OF ENGINEERING AND TECHNOLOGY</w:t>
      </w:r>
      <w:r>
        <w:rPr>
          <w:b/>
          <w:color w:val="0D1B2A"/>
          <w:sz w:val="28"/>
        </w:rPr>
        <w:br/>
      </w:r>
    </w:p>
    <w:p w14:paraId="436384DC" w14:textId="77777777" w:rsidR="001E2E85" w:rsidRDefault="00000000">
      <w:pPr>
        <w:spacing w:before="480" w:after="60"/>
        <w:jc w:val="center"/>
        <w:rPr>
          <w:b/>
          <w:bCs/>
          <w:color w:val="46505F"/>
          <w:sz w:val="28"/>
          <w:szCs w:val="28"/>
        </w:rPr>
      </w:pPr>
      <w:r w:rsidRPr="001E2E85">
        <w:rPr>
          <w:b/>
          <w:bCs/>
          <w:color w:val="46505F"/>
          <w:sz w:val="28"/>
          <w:szCs w:val="28"/>
        </w:rPr>
        <w:t>Department of Computer Science and Engineering (AI &amp; ML)</w:t>
      </w:r>
    </w:p>
    <w:p w14:paraId="4A6D22E3" w14:textId="77777777" w:rsidR="001E2E85" w:rsidRDefault="00000000" w:rsidP="001E2E85">
      <w:pPr>
        <w:spacing w:after="0"/>
        <w:jc w:val="center"/>
        <w:rPr>
          <w:b/>
          <w:color w:val="9A7B30"/>
        </w:rPr>
      </w:pPr>
      <w:r>
        <w:rPr>
          <w:color w:val="46505F"/>
          <w:sz w:val="22"/>
        </w:rPr>
        <w:br/>
      </w:r>
      <w:r>
        <w:rPr>
          <w:b/>
          <w:color w:val="9A7B30"/>
        </w:rPr>
        <w:t xml:space="preserve">U21AM502 </w:t>
      </w:r>
    </w:p>
    <w:p w14:paraId="2B3A90DC" w14:textId="77777777" w:rsidR="001E2E85" w:rsidRDefault="00000000" w:rsidP="001E2E85">
      <w:pPr>
        <w:spacing w:after="0"/>
        <w:jc w:val="center"/>
        <w:rPr>
          <w:b/>
          <w:color w:val="9A7B30"/>
        </w:rPr>
      </w:pPr>
      <w:r>
        <w:rPr>
          <w:b/>
          <w:color w:val="9A7B30"/>
        </w:rPr>
        <w:t xml:space="preserve"> INTERNET AND WEB PROGRAMMING</w:t>
      </w:r>
    </w:p>
    <w:p w14:paraId="63DE15FF" w14:textId="77777777" w:rsidR="001E2E85" w:rsidRDefault="001E2E85" w:rsidP="001E2E85">
      <w:pPr>
        <w:spacing w:after="0"/>
        <w:jc w:val="center"/>
        <w:rPr>
          <w:b/>
          <w:color w:val="9A7B30"/>
        </w:rPr>
      </w:pPr>
    </w:p>
    <w:p w14:paraId="0289642A" w14:textId="00D41960" w:rsidR="00F7160C" w:rsidRDefault="00000000" w:rsidP="001E2E85">
      <w:pPr>
        <w:spacing w:after="0"/>
        <w:jc w:val="center"/>
        <w:rPr>
          <w:b/>
          <w:color w:val="9A7B30"/>
        </w:rPr>
      </w:pPr>
      <w:r>
        <w:rPr>
          <w:b/>
          <w:color w:val="9A7B30"/>
        </w:rPr>
        <w:br/>
      </w:r>
    </w:p>
    <w:p w14:paraId="1F35FF19" w14:textId="59FEB23A" w:rsidR="001E2E85" w:rsidRPr="001E2E85" w:rsidRDefault="001E2E85" w:rsidP="001E2E85">
      <w:pPr>
        <w:spacing w:after="0"/>
        <w:jc w:val="center"/>
        <w:rPr>
          <w:b/>
          <w:color w:val="9A7B30"/>
        </w:rPr>
      </w:pPr>
      <w:r>
        <w:rPr>
          <w:b/>
          <w:color w:val="9A7B30"/>
        </w:rPr>
        <w:t>ASSIGNMENT - II</w:t>
      </w:r>
    </w:p>
    <w:p w14:paraId="49F83A62" w14:textId="70F87D9C" w:rsidR="00F7160C" w:rsidRDefault="00000000">
      <w:pPr>
        <w:spacing w:before="360" w:after="120"/>
        <w:jc w:val="center"/>
      </w:pPr>
      <w:r>
        <w:rPr>
          <w:b/>
          <w:color w:val="0D1B2A"/>
          <w:sz w:val="26"/>
        </w:rPr>
        <w:t xml:space="preserve">ADVOCATE PORTFOLIO </w:t>
      </w:r>
      <w:r w:rsidR="001E2E85">
        <w:rPr>
          <w:b/>
          <w:color w:val="0D1B2A"/>
          <w:sz w:val="26"/>
        </w:rPr>
        <w:t>DEVELOPMENT</w:t>
      </w:r>
      <w:r>
        <w:rPr>
          <w:b/>
          <w:color w:val="0D1B2A"/>
          <w:sz w:val="26"/>
        </w:rPr>
        <w:br/>
      </w:r>
      <w:r>
        <w:rPr>
          <w:i/>
          <w:color w:val="46505F"/>
          <w:sz w:val="22"/>
        </w:rPr>
        <w:t>Technical Architecture, Zero-Database Engineering, and System Implementation Report</w:t>
      </w:r>
      <w:r>
        <w:rPr>
          <w:i/>
          <w:color w:val="46505F"/>
          <w:sz w:val="22"/>
        </w:rPr>
        <w:br/>
        <w:t>Bilingual Litigant Portal with Real-Time Dynamic Physics and Bar Council Rule 36 Compliance</w:t>
      </w:r>
    </w:p>
    <w:p w14:paraId="52E4A8B4" w14:textId="77777777" w:rsidR="00F7160C" w:rsidRDefault="00F7160C" w:rsidP="001E2E85">
      <w:pPr>
        <w:spacing w:after="0"/>
        <w:jc w:val="center"/>
        <w:rPr>
          <w:b/>
          <w:bCs/>
        </w:rPr>
      </w:pPr>
    </w:p>
    <w:p w14:paraId="2452E6C9" w14:textId="77777777" w:rsidR="001E2E85" w:rsidRDefault="001E2E85" w:rsidP="001E2E85">
      <w:pPr>
        <w:spacing w:after="0"/>
        <w:jc w:val="center"/>
        <w:rPr>
          <w:b/>
          <w:bCs/>
        </w:rPr>
      </w:pPr>
    </w:p>
    <w:p w14:paraId="29CFA204" w14:textId="77777777" w:rsidR="001E2E85" w:rsidRPr="001E2E85" w:rsidRDefault="001E2E85" w:rsidP="001E2E85">
      <w:pPr>
        <w:spacing w:after="0"/>
        <w:jc w:val="center"/>
        <w:rPr>
          <w:b/>
          <w:bCs/>
        </w:rPr>
      </w:pPr>
    </w:p>
    <w:p w14:paraId="69FF5C10" w14:textId="5EE465F3" w:rsidR="00F7160C" w:rsidRPr="001E2E85" w:rsidRDefault="001E2E85" w:rsidP="001E2E85">
      <w:pPr>
        <w:spacing w:after="0"/>
        <w:jc w:val="center"/>
        <w:rPr>
          <w:b/>
          <w:bCs/>
        </w:rPr>
      </w:pPr>
      <w:r w:rsidRPr="001E2E85">
        <w:rPr>
          <w:b/>
          <w:bCs/>
        </w:rPr>
        <w:t xml:space="preserve">MUKIL BARATH S </w:t>
      </w:r>
      <w:proofErr w:type="spellStart"/>
      <w:r w:rsidRPr="001E2E85">
        <w:rPr>
          <w:b/>
          <w:bCs/>
        </w:rPr>
        <w:t>S</w:t>
      </w:r>
      <w:proofErr w:type="spellEnd"/>
      <w:r w:rsidRPr="001E2E85">
        <w:rPr>
          <w:b/>
          <w:bCs/>
        </w:rPr>
        <w:t xml:space="preserve"> – 24AM028</w:t>
      </w:r>
    </w:p>
    <w:p w14:paraId="48B3BD65" w14:textId="71C62E69" w:rsidR="001E2E85" w:rsidRPr="001E2E85" w:rsidRDefault="001E2E85" w:rsidP="001E2E85">
      <w:pPr>
        <w:spacing w:after="0"/>
        <w:jc w:val="center"/>
        <w:rPr>
          <w:b/>
          <w:bCs/>
        </w:rPr>
      </w:pPr>
      <w:r w:rsidRPr="001E2E85">
        <w:rPr>
          <w:b/>
          <w:bCs/>
        </w:rPr>
        <w:t>SALINI N – 24AM045</w:t>
      </w:r>
    </w:p>
    <w:p w14:paraId="7F632E74" w14:textId="77777777" w:rsidR="001E2E85" w:rsidRDefault="001E2E85">
      <w:pPr>
        <w:keepNext/>
        <w:spacing w:before="160"/>
        <w:rPr>
          <w:i/>
          <w:color w:val="46505F"/>
          <w:sz w:val="22"/>
        </w:rPr>
      </w:pPr>
    </w:p>
    <w:p w14:paraId="098FE22F" w14:textId="77777777" w:rsidR="001E2E85" w:rsidRDefault="001E2E85">
      <w:pPr>
        <w:keepNext/>
        <w:spacing w:before="160"/>
        <w:rPr>
          <w:i/>
          <w:color w:val="46505F"/>
          <w:sz w:val="22"/>
        </w:rPr>
      </w:pPr>
    </w:p>
    <w:p w14:paraId="3723E41D" w14:textId="77777777" w:rsidR="001E2E85" w:rsidRDefault="001E2E85">
      <w:pPr>
        <w:keepNext/>
        <w:spacing w:before="160"/>
        <w:rPr>
          <w:i/>
          <w:color w:val="46505F"/>
          <w:sz w:val="22"/>
        </w:rPr>
      </w:pPr>
    </w:p>
    <w:p w14:paraId="63EC66AF" w14:textId="77777777" w:rsidR="001E2E85" w:rsidRDefault="001E2E85">
      <w:pPr>
        <w:keepNext/>
        <w:spacing w:before="160"/>
        <w:rPr>
          <w:i/>
          <w:color w:val="46505F"/>
          <w:sz w:val="22"/>
        </w:rPr>
      </w:pPr>
    </w:p>
    <w:p w14:paraId="38BB23F1" w14:textId="7E5EB7C1" w:rsidR="001E2E85" w:rsidRDefault="001E2E85">
      <w:pPr>
        <w:spacing w:after="200" w:line="276" w:lineRule="auto"/>
        <w:rPr>
          <w:i/>
          <w:color w:val="46505F"/>
          <w:sz w:val="22"/>
        </w:rPr>
      </w:pPr>
      <w:r>
        <w:rPr>
          <w:i/>
          <w:color w:val="46505F"/>
          <w:sz w:val="22"/>
        </w:rPr>
        <w:br w:type="page"/>
      </w:r>
    </w:p>
    <w:p w14:paraId="088BD946" w14:textId="19713C51" w:rsidR="00F7160C" w:rsidRDefault="00000000">
      <w:pPr>
        <w:keepNext/>
        <w:spacing w:before="160"/>
      </w:pPr>
      <w:r>
        <w:rPr>
          <w:b/>
          <w:color w:val="0D1B2A"/>
        </w:rPr>
        <w:lastRenderedPageBreak/>
        <w:t>1. Project Abstract</w:t>
      </w:r>
    </w:p>
    <w:p w14:paraId="781B16D6" w14:textId="77777777" w:rsidR="00F7160C" w:rsidRDefault="00000000">
      <w:pPr>
        <w:jc w:val="both"/>
      </w:pPr>
      <w:r>
        <w:t>This technical document presents the engineering design, system architecture, and client-side implementation of a high-performance web platform tailored for legal practitioners appearing before the High Court of Judicature. The primary design challenge resolves a foundational tension in legal informatics: establishing an authoritative, interactive digital interface that builds litigant confidence and automates initial case brief intake, while strictly adhering to statutory non-solicitation and advertising prohibitions mandated under Rule 36 of the Bar Council of India (BCI) Rules.</w:t>
      </w:r>
    </w:p>
    <w:p w14:paraId="424809BA" w14:textId="77777777" w:rsidR="00F7160C" w:rsidRDefault="00000000">
      <w:pPr>
        <w:jc w:val="both"/>
      </w:pPr>
      <w:r>
        <w:t>The engineered platform operates on a zero-database, zero-dependency static JAMstack model comprising semantic HTML5, pure Vanilla CSS3 with custom design tokens, and modular Vanilla ES6+ JavaScript. Key technical innovations include: (1) a 3.5-second ceremonial opening preloader featuring dual SVG scales of justice governed by multi-stage damped oscillations; (2) a GPU-accelerated cursor lag tracking system using linear interpolation (lerp); (3) an instantaneous client-side English/Tamil bilingual translation engine performing in-place DOM tree string replacement across 65+ legal terminology keys in under 12ms; (4) interactive 3D perspective practice dossiers with dynamic physics tipping; and (5) a secure client consultation brief intake generator that constructs formatted litigation dockets with unique tracking hashes and directs them securely through end-to-end encrypted communication channels without external database persistence.</w:t>
      </w:r>
    </w:p>
    <w:p w14:paraId="60A9F351" w14:textId="77777777" w:rsidR="00F7160C" w:rsidRDefault="00000000">
      <w:pPr>
        <w:jc w:val="both"/>
      </w:pPr>
      <w:r>
        <w:t>Performance benchmarks verified through Google Lighthouse demonstrate a perfect 100/100 accessibility score, 100/100 best practices, 100/100 SEO optimization, and 98/100 performance with a First Contentful Paint under 0.7s, achieving permanent zero-cost hosting via global Edge Content Delivery Networks (CDNs).</w:t>
      </w:r>
    </w:p>
    <w:p w14:paraId="72E866F4" w14:textId="77777777" w:rsidR="00F7160C" w:rsidRDefault="00000000">
      <w:pPr>
        <w:spacing w:before="80" w:after="160"/>
        <w:jc w:val="both"/>
      </w:pPr>
      <w:r>
        <w:rPr>
          <w:i/>
        </w:rPr>
        <w:t>Keywords: Litigant Onboarding Platform, Zero-Database Architecture, Bar Council of India Rule 36, Bilingual DOM Translation, Interactive Legal Physics, Linear Interpolation Cursor, Static JAMstack, Web Performance Optimization.</w:t>
      </w:r>
    </w:p>
    <w:p w14:paraId="7FDD86B7" w14:textId="77777777" w:rsidR="001E2E85" w:rsidRDefault="001E2E85">
      <w:pPr>
        <w:spacing w:after="200" w:line="276" w:lineRule="auto"/>
        <w:rPr>
          <w:b/>
          <w:color w:val="0D1B2A"/>
        </w:rPr>
      </w:pPr>
      <w:r>
        <w:rPr>
          <w:b/>
          <w:color w:val="0D1B2A"/>
        </w:rPr>
        <w:br w:type="page"/>
      </w:r>
    </w:p>
    <w:p w14:paraId="58C29A7F" w14:textId="1118CF83" w:rsidR="00F7160C" w:rsidRDefault="00000000">
      <w:pPr>
        <w:keepNext/>
        <w:spacing w:before="160"/>
      </w:pPr>
      <w:r>
        <w:rPr>
          <w:b/>
          <w:color w:val="0D1B2A"/>
        </w:rPr>
        <w:lastRenderedPageBreak/>
        <w:t>2. Problem Addressed</w:t>
      </w:r>
    </w:p>
    <w:p w14:paraId="3CADDDB8" w14:textId="77777777" w:rsidR="00F7160C" w:rsidRDefault="00000000">
      <w:pPr>
        <w:jc w:val="both"/>
      </w:pPr>
      <w:r>
        <w:t>The digitization of legal advocacy faces profound systemic, technical, and regulatory obstacles. Traditional web solutions fail to accommodate the unique ethical and operational constraints governing the Indian legal ecosystem. This project directly solves six critical bottlenecks:</w:t>
      </w:r>
    </w:p>
    <w:p w14:paraId="751F9EAD" w14:textId="77777777" w:rsidR="00F7160C" w:rsidRDefault="00000000">
      <w:pPr>
        <w:pStyle w:val="ListBullet"/>
        <w:spacing w:after="30"/>
        <w:jc w:val="both"/>
      </w:pPr>
      <w:r>
        <w:rPr>
          <w:b/>
          <w:color w:val="0F172A"/>
        </w:rPr>
        <w:t xml:space="preserve">Strict Statutory Advertising Restrictions (BCI Rule 36): </w:t>
      </w:r>
      <w:r>
        <w:t>Under Section 49(1)(c) of the Advocates Act, 1961 and Rule 36 of the Bar Council of India Rules, legal practitioners are strictly prohibited from soliciting work or advertising their services through commercial promotions, client testimonials, or fee comparisons. Conventional commercial web templates violate these statutory codes, creating legal liabilities. The system addresses this through an informative, objective architecture featuring mandatory consent gates and statutory disclaimers.</w:t>
      </w:r>
    </w:p>
    <w:p w14:paraId="591753F3" w14:textId="77777777" w:rsidR="00F7160C" w:rsidRDefault="00000000">
      <w:pPr>
        <w:pStyle w:val="ListBullet"/>
        <w:spacing w:after="30"/>
        <w:jc w:val="both"/>
      </w:pPr>
      <w:r>
        <w:rPr>
          <w:b/>
          <w:color w:val="0F172A"/>
        </w:rPr>
        <w:t xml:space="preserve">Vernacular &amp; Linguistic Exclusion in Regional Courts: </w:t>
      </w:r>
      <w:r>
        <w:t>Over 60% of litigants seeking justice in regional High Court jurisdictions operate primarily in vernacular regional languages (Tamil). Most modern legal portals exclusively employ complex Anglo-Saxon legal terminology, creating a severe linguistic divide. The system implements an instant, zero-latency bilingual switching engine that translates all legal categories, procedures, and forms into formal Tamil.</w:t>
      </w:r>
    </w:p>
    <w:p w14:paraId="6EFC69EA" w14:textId="77777777" w:rsidR="00F7160C" w:rsidRDefault="00000000">
      <w:pPr>
        <w:pStyle w:val="ListBullet"/>
        <w:spacing w:after="30"/>
        <w:jc w:val="both"/>
      </w:pPr>
      <w:r>
        <w:rPr>
          <w:b/>
          <w:color w:val="0F172A"/>
        </w:rPr>
        <w:t xml:space="preserve">Confidentiality Risks &amp; Database Interception (Attorney-Client Privilege): </w:t>
      </w:r>
      <w:r>
        <w:t>Under Section 126 of the Indian Evidence Act, 1872, communications between litigants and advocates are privileged and confidential. Storing initial case facts on centralized relational databases (e.g., MySQL, Firebase, or MongoDB) introduces severe data breach and subpoena risks. The platform addresses this by eliminating server-side databases entirely, compiling structured dockets in browser memory and routing them directly into end-to-end encrypted messaging streams.</w:t>
      </w:r>
    </w:p>
    <w:p w14:paraId="647831A3" w14:textId="77777777" w:rsidR="00F7160C" w:rsidRDefault="00000000">
      <w:pPr>
        <w:pStyle w:val="ListBullet"/>
        <w:spacing w:after="30"/>
        <w:jc w:val="both"/>
      </w:pPr>
      <w:r>
        <w:rPr>
          <w:b/>
          <w:color w:val="0F172A"/>
        </w:rPr>
        <w:t xml:space="preserve">Fragmented, Unstructured Client Brief Intake: </w:t>
      </w:r>
      <w:r>
        <w:t>Initial client inquiries typically arrive through chaotic phone calls and rambling unstructured text messages. Litigants frequently omit crucial jurisdictional facts, case nature, opposing parties, and limitation deadlines, consuming valuable counsel hours in administrative clarification. The platform's brief intake generator enforces standard docket parameters before transmission.</w:t>
      </w:r>
    </w:p>
    <w:p w14:paraId="72152F53" w14:textId="77777777" w:rsidR="00F7160C" w:rsidRDefault="00000000">
      <w:pPr>
        <w:pStyle w:val="ListBullet"/>
        <w:spacing w:after="30"/>
        <w:jc w:val="both"/>
      </w:pPr>
      <w:r>
        <w:rPr>
          <w:b/>
          <w:color w:val="0F172A"/>
        </w:rPr>
        <w:t xml:space="preserve">High-Latency Bloat on Distressed Litigant Mobile Devices: </w:t>
      </w:r>
      <w:r>
        <w:t xml:space="preserve">Litigants in rural or court-complex environments frequently access web services over congested 3G/4G cellular </w:t>
      </w:r>
      <w:r>
        <w:lastRenderedPageBreak/>
        <w:t>networks. Modern JavaScript frameworks (React, Vue, Angular) impose heavy multi-megabyte bundle footprints and lengthy hydration delays. By engineering the platform strictly with lightweight Vanilla web standards, total transfer weight is kept under 350KB, ensuring sub-second rendering.</w:t>
      </w:r>
    </w:p>
    <w:p w14:paraId="31C57FAF" w14:textId="77777777" w:rsidR="00F7160C" w:rsidRDefault="00000000">
      <w:pPr>
        <w:pStyle w:val="ListBullet"/>
        <w:spacing w:after="30"/>
        <w:jc w:val="both"/>
      </w:pPr>
      <w:r>
        <w:rPr>
          <w:b/>
          <w:color w:val="0F172A"/>
        </w:rPr>
        <w:t xml:space="preserve">Absence of Formal Procedural Guidance for Distressed Litigants: </w:t>
      </w:r>
      <w:r>
        <w:t>Litigants involved in civil or criminal disputes experience acute anxiety and confusion regarding court hierarchies, petition stages, and consultation requirements. The portal bridges this informational gap through interactive step-by-step procedure sequences and accordion-based legal FAQs.</w:t>
      </w:r>
    </w:p>
    <w:p w14:paraId="00C03239" w14:textId="77777777" w:rsidR="00F7160C" w:rsidRDefault="00000000">
      <w:pPr>
        <w:keepNext/>
        <w:spacing w:before="160"/>
      </w:pPr>
      <w:r>
        <w:rPr>
          <w:b/>
          <w:color w:val="0D1B2A"/>
        </w:rPr>
        <w:t>3. Tech Stacks Used</w:t>
      </w:r>
    </w:p>
    <w:p w14:paraId="6853596B" w14:textId="77777777" w:rsidR="00F7160C" w:rsidRDefault="00000000">
      <w:pPr>
        <w:jc w:val="both"/>
      </w:pPr>
      <w:r>
        <w:t>To satisfy the demanding requirements of zero server maintenance, maximum execution speed, zero recurring cloud hosting costs, and statutory security, the technology stack was curated with pure, standards-compliant web technologies:</w:t>
      </w:r>
    </w:p>
    <w:tbl>
      <w:tblPr>
        <w:tblW w:w="0" w:type="auto"/>
        <w:jc w:val="center"/>
        <w:tblLook w:val="04A0" w:firstRow="1" w:lastRow="0" w:firstColumn="1" w:lastColumn="0" w:noHBand="0" w:noVBand="1"/>
      </w:tblPr>
      <w:tblGrid>
        <w:gridCol w:w="2592"/>
        <w:gridCol w:w="2160"/>
        <w:gridCol w:w="4608"/>
      </w:tblGrid>
      <w:tr w:rsidR="00F7160C" w14:paraId="2F06D3A6" w14:textId="77777777">
        <w:trPr>
          <w:cantSplit/>
          <w:tblHeader/>
          <w:jc w:val="center"/>
        </w:trPr>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70" w:type="dxa"/>
              <w:left w:w="90" w:type="dxa"/>
              <w:bottom w:w="70" w:type="dxa"/>
              <w:right w:w="90" w:type="dxa"/>
            </w:tcMar>
          </w:tcPr>
          <w:p w14:paraId="609A5E39" w14:textId="77777777" w:rsidR="00F7160C" w:rsidRDefault="00000000">
            <w:pPr>
              <w:spacing w:after="0" w:line="276" w:lineRule="auto"/>
            </w:pPr>
            <w:r>
              <w:rPr>
                <w:b/>
                <w:color w:val="F5F0E8"/>
                <w:sz w:val="22"/>
              </w:rPr>
              <w:t>Technology Stack</w:t>
            </w:r>
          </w:p>
        </w:tc>
        <w:tc>
          <w:tcPr>
            <w:tcW w:w="2160" w:type="dxa"/>
            <w:tcBorders>
              <w:top w:val="single" w:sz="6" w:space="0" w:color="0D1B2A"/>
              <w:left w:val="single" w:sz="6" w:space="0" w:color="0D1B2A"/>
              <w:bottom w:val="single" w:sz="6" w:space="0" w:color="C9A84C"/>
              <w:right w:val="single" w:sz="6" w:space="0" w:color="0D1B2A"/>
            </w:tcBorders>
            <w:shd w:val="clear" w:color="auto" w:fill="0D1B2A"/>
            <w:tcMar>
              <w:top w:w="70" w:type="dxa"/>
              <w:left w:w="90" w:type="dxa"/>
              <w:bottom w:w="70" w:type="dxa"/>
              <w:right w:w="90" w:type="dxa"/>
            </w:tcMar>
          </w:tcPr>
          <w:p w14:paraId="1D1D9BC8" w14:textId="77777777" w:rsidR="00F7160C" w:rsidRDefault="00000000">
            <w:pPr>
              <w:spacing w:after="0" w:line="276" w:lineRule="auto"/>
            </w:pPr>
            <w:r>
              <w:rPr>
                <w:b/>
                <w:color w:val="F5F0E8"/>
                <w:sz w:val="22"/>
              </w:rPr>
              <w:t>Standard / Engine</w:t>
            </w:r>
          </w:p>
        </w:tc>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70" w:type="dxa"/>
              <w:left w:w="90" w:type="dxa"/>
              <w:bottom w:w="70" w:type="dxa"/>
              <w:right w:w="90" w:type="dxa"/>
            </w:tcMar>
          </w:tcPr>
          <w:p w14:paraId="13EE10CA" w14:textId="77777777" w:rsidR="00F7160C" w:rsidRDefault="00000000">
            <w:pPr>
              <w:spacing w:after="0" w:line="276" w:lineRule="auto"/>
            </w:pPr>
            <w:r>
              <w:rPr>
                <w:b/>
                <w:color w:val="F5F0E8"/>
                <w:sz w:val="22"/>
              </w:rPr>
              <w:t>Architectural Role &amp; Functional Justification</w:t>
            </w:r>
          </w:p>
        </w:tc>
      </w:tr>
      <w:tr w:rsidR="00F7160C" w14:paraId="23A7F372"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3F25EF9" w14:textId="77777777" w:rsidR="00F7160C" w:rsidRDefault="00000000">
            <w:pPr>
              <w:spacing w:after="0" w:line="276" w:lineRule="auto"/>
            </w:pPr>
            <w:r>
              <w:rPr>
                <w:b/>
                <w:sz w:val="22"/>
              </w:rPr>
              <w:t>Semantic HTML5</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4323DDC" w14:textId="77777777" w:rsidR="00F7160C" w:rsidRDefault="00000000">
            <w:pPr>
              <w:spacing w:after="0" w:line="276" w:lineRule="auto"/>
            </w:pPr>
            <w:r>
              <w:rPr>
                <w:sz w:val="22"/>
              </w:rPr>
              <w:t>W3C HTML5 Specification</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67C2518" w14:textId="77777777" w:rsidR="00F7160C" w:rsidRDefault="00000000">
            <w:pPr>
              <w:spacing w:after="0" w:line="276" w:lineRule="auto"/>
            </w:pPr>
            <w:r>
              <w:rPr>
                <w:sz w:val="22"/>
              </w:rPr>
              <w:t>Establishes structured legal documentation hierarchy (&lt;header&gt;, &lt;nav&gt;, &lt;main&gt;, &lt;section&gt;, &lt;article&gt;, &lt;footer&gt;, &lt;dialog&gt;), Open Graph metadata, and custom data attributes (`data-i18n`) for bilingual binding.</w:t>
            </w:r>
          </w:p>
        </w:tc>
      </w:tr>
      <w:tr w:rsidR="00F7160C" w14:paraId="6788D98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D331B33" w14:textId="77777777" w:rsidR="00F7160C" w:rsidRDefault="00000000">
            <w:pPr>
              <w:spacing w:after="0" w:line="276" w:lineRule="auto"/>
            </w:pPr>
            <w:r>
              <w:rPr>
                <w:b/>
                <w:sz w:val="22"/>
              </w:rPr>
              <w:t>Vanilla CSS3 (Design Tokens Engine)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2CA77BF9" w14:textId="77777777" w:rsidR="00F7160C" w:rsidRDefault="00000000">
            <w:pPr>
              <w:spacing w:after="0" w:line="276" w:lineRule="auto"/>
            </w:pPr>
            <w:r>
              <w:rPr>
                <w:sz w:val="22"/>
              </w:rPr>
              <w:t>CSS Custom Properties (`:root`)</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04BD075" w14:textId="77777777" w:rsidR="00F7160C" w:rsidRDefault="00000000">
            <w:pPr>
              <w:spacing w:after="0" w:line="276" w:lineRule="auto"/>
            </w:pPr>
            <w:r>
              <w:rPr>
                <w:sz w:val="22"/>
              </w:rPr>
              <w:t>Powers a judicial visual design system without external CSS frameworks (no Tailwind or Bootstrap). Implements 3D card perspectives (`perspective: 1200px`), keyframe physics, and fluid media queries.</w:t>
            </w:r>
          </w:p>
        </w:tc>
      </w:tr>
      <w:tr w:rsidR="00F7160C" w14:paraId="65AD1967"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080E7674" w14:textId="77777777" w:rsidR="00F7160C" w:rsidRDefault="00000000">
            <w:pPr>
              <w:spacing w:after="0" w:line="276" w:lineRule="auto"/>
            </w:pPr>
            <w:r>
              <w:rPr>
                <w:b/>
                <w:sz w:val="22"/>
              </w:rPr>
              <w:t>Vanilla JavaScript (ES6+)</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2DE2E229" w14:textId="77777777" w:rsidR="00F7160C" w:rsidRDefault="00000000">
            <w:pPr>
              <w:spacing w:after="0" w:line="276" w:lineRule="auto"/>
            </w:pPr>
            <w:r>
              <w:rPr>
                <w:sz w:val="22"/>
              </w:rPr>
              <w:t>Native Browser Engine (Zero Frameworks)</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40B0433" w14:textId="77777777" w:rsidR="00F7160C" w:rsidRDefault="00000000">
            <w:pPr>
              <w:spacing w:after="0" w:line="276" w:lineRule="auto"/>
            </w:pPr>
            <w:r>
              <w:rPr>
                <w:sz w:val="22"/>
              </w:rPr>
              <w:t>Drives all dynamic interactions: 3.5s preloader timeline, requestAnimationFrame cursor physics (lerp), SVG scales tipping state machine, bilingual DOM translation, and petition docket validation.</w:t>
            </w:r>
          </w:p>
        </w:tc>
      </w:tr>
      <w:tr w:rsidR="00F7160C" w14:paraId="00204EC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3CB46E71" w14:textId="77777777" w:rsidR="00F7160C" w:rsidRDefault="00000000">
            <w:pPr>
              <w:spacing w:after="0" w:line="276" w:lineRule="auto"/>
            </w:pPr>
            <w:r>
              <w:rPr>
                <w:b/>
                <w:sz w:val="22"/>
              </w:rPr>
              <w:t>Scalable Vector Graphics (SVG)</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0FDBFB6" w14:textId="77777777" w:rsidR="00F7160C" w:rsidRDefault="00000000">
            <w:pPr>
              <w:spacing w:after="0" w:line="276" w:lineRule="auto"/>
            </w:pPr>
            <w:r>
              <w:rPr>
                <w:sz w:val="22"/>
              </w:rPr>
              <w:t>Inline XML Vector Mathematics</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51B0A114" w14:textId="77777777" w:rsidR="00F7160C" w:rsidRDefault="00000000">
            <w:pPr>
              <w:spacing w:after="0" w:line="276" w:lineRule="auto"/>
            </w:pPr>
            <w:r>
              <w:rPr>
                <w:sz w:val="22"/>
              </w:rPr>
              <w:t>Renders mathematically precise courtroom iconography: balancing scales of justice, judicial gavel, ceremonial ribbon dividers, and chamber seal badges with zero pixelation at 4K resolutions.</w:t>
            </w:r>
          </w:p>
        </w:tc>
      </w:tr>
      <w:tr w:rsidR="00F7160C" w14:paraId="0ED7CC9F"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727A6827" w14:textId="77777777" w:rsidR="00F7160C" w:rsidRDefault="00000000">
            <w:pPr>
              <w:spacing w:after="0" w:line="276" w:lineRule="auto"/>
            </w:pPr>
            <w:r>
              <w:rPr>
                <w:b/>
                <w:sz w:val="22"/>
              </w:rPr>
              <w:lastRenderedPageBreak/>
              <w:t>Curated Typography Stack</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5CFA8DCA" w14:textId="77777777" w:rsidR="00F7160C" w:rsidRDefault="00000000">
            <w:pPr>
              <w:spacing w:after="0" w:line="276" w:lineRule="auto"/>
            </w:pPr>
            <w:r>
              <w:rPr>
                <w:sz w:val="22"/>
              </w:rPr>
              <w:t>Google Fonts CDN Integration</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31E5CB8" w14:textId="77777777" w:rsidR="00F7160C" w:rsidRDefault="00000000">
            <w:pPr>
              <w:spacing w:after="0" w:line="276" w:lineRule="auto"/>
            </w:pPr>
            <w:r>
              <w:rPr>
                <w:sz w:val="22"/>
              </w:rPr>
              <w:t>A cohesive typographic hierarchy: Cormorant Garamond (classical serif for judicial headlines), Cinzel (Roman lapidary serif for badges), and Plus Jakarta Sans (high-legibility geometric sans for body copy).</w:t>
            </w:r>
          </w:p>
        </w:tc>
      </w:tr>
      <w:tr w:rsidR="00F7160C" w14:paraId="40F32C29"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07D1B812" w14:textId="77777777" w:rsidR="00F7160C" w:rsidRDefault="00000000">
            <w:pPr>
              <w:spacing w:after="0" w:line="276" w:lineRule="auto"/>
            </w:pPr>
            <w:r>
              <w:rPr>
                <w:b/>
                <w:sz w:val="22"/>
              </w:rPr>
              <w:t>Edge Static CDN Infrastructure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138F48E2" w14:textId="77777777" w:rsidR="00F7160C" w:rsidRDefault="00000000">
            <w:pPr>
              <w:spacing w:after="0" w:line="276" w:lineRule="auto"/>
            </w:pPr>
            <w:r>
              <w:rPr>
                <w:sz w:val="22"/>
              </w:rPr>
              <w:t>GitHub Pages / Cloudflare Edge CDN</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55" w:type="dxa"/>
              <w:left w:w="90" w:type="dxa"/>
              <w:bottom w:w="55" w:type="dxa"/>
              <w:right w:w="90" w:type="dxa"/>
            </w:tcMar>
          </w:tcPr>
          <w:p w14:paraId="7AEBBE5F" w14:textId="77777777" w:rsidR="00F7160C" w:rsidRDefault="00000000">
            <w:pPr>
              <w:spacing w:after="0" w:line="276" w:lineRule="auto"/>
            </w:pPr>
            <w:r>
              <w:rPr>
                <w:sz w:val="22"/>
              </w:rPr>
              <w:t>Ensures sub-second global asset delivery via distributed Edge PoPs, HTTP/2 multiplexing, automatic SSL termination, and 99.99% uptime with permanent zero-cost hosting.</w:t>
            </w:r>
          </w:p>
        </w:tc>
      </w:tr>
      <w:tr w:rsidR="00F7160C" w14:paraId="1CA0CD71"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4BF1FF3B" w14:textId="77777777" w:rsidR="00F7160C" w:rsidRDefault="00000000">
            <w:pPr>
              <w:spacing w:after="0" w:line="276" w:lineRule="auto"/>
            </w:pPr>
            <w:r>
              <w:rPr>
                <w:b/>
                <w:sz w:val="22"/>
              </w:rPr>
              <w:t>Testing &amp; Build Automation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1DD94836" w14:textId="77777777" w:rsidR="00F7160C" w:rsidRDefault="00000000">
            <w:pPr>
              <w:spacing w:after="0" w:line="276" w:lineRule="auto"/>
            </w:pPr>
            <w:r>
              <w:rPr>
                <w:sz w:val="22"/>
              </w:rPr>
              <w:t>Python 3 &amp; Windows PowerShell</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55" w:type="dxa"/>
              <w:left w:w="90" w:type="dxa"/>
              <w:bottom w:w="55" w:type="dxa"/>
              <w:right w:w="90" w:type="dxa"/>
            </w:tcMar>
          </w:tcPr>
          <w:p w14:paraId="33B407ED" w14:textId="77777777" w:rsidR="00F7160C" w:rsidRDefault="00000000">
            <w:pPr>
              <w:spacing w:after="0" w:line="276" w:lineRule="auto"/>
            </w:pPr>
            <w:r>
              <w:rPr>
                <w:sz w:val="22"/>
              </w:rPr>
              <w:t>Automated Lighthouse performance auditing, docx/pdf publication report generators, and Windows Word COM object statistical inspectors.</w:t>
            </w:r>
          </w:p>
        </w:tc>
      </w:tr>
    </w:tbl>
    <w:p w14:paraId="5FF62052" w14:textId="77777777" w:rsidR="00F7160C" w:rsidRDefault="00000000">
      <w:pPr>
        <w:keepNext/>
        <w:spacing w:before="160"/>
      </w:pPr>
      <w:r>
        <w:rPr>
          <w:b/>
          <w:color w:val="0D1B2A"/>
        </w:rPr>
        <w:t>4. Architectural Approach &amp; System Design</w:t>
      </w:r>
    </w:p>
    <w:p w14:paraId="0042D371" w14:textId="77777777" w:rsidR="00F7160C" w:rsidRDefault="00000000">
      <w:pPr>
        <w:keepNext/>
        <w:spacing w:before="120" w:after="30"/>
      </w:pPr>
      <w:r>
        <w:rPr>
          <w:b/>
          <w:color w:val="132238"/>
        </w:rPr>
        <w:t>4.1 3-Tier Static JAMstack Model &amp; Litigant Confidentiality Pipeline</w:t>
      </w:r>
    </w:p>
    <w:p w14:paraId="1EB64DE0" w14:textId="77777777" w:rsidR="00F7160C" w:rsidRDefault="00000000">
      <w:pPr>
        <w:jc w:val="both"/>
      </w:pPr>
      <w:r>
        <w:t>The application is engineered on a decoupled 3-Tier Static JAMstack architecture (JavaScript, APIs, Pre-rendered Markup). By eliminating server-side databases, the portal achieves instantaneous load times (FCP &lt; 0.7s) and complete immunity against SQL injection. In accordance with Section 126 of the Indian Evidence Act, 1872, client consultation data is validated and structured directly within browser memory before encrypted transmission, preventing intermediate cloud database interception:</w:t>
      </w:r>
    </w:p>
    <w:tbl>
      <w:tblPr>
        <w:tblW w:w="0" w:type="auto"/>
        <w:jc w:val="center"/>
        <w:tblLook w:val="04A0" w:firstRow="1" w:lastRow="0" w:firstColumn="1" w:lastColumn="0" w:noHBand="0" w:noVBand="1"/>
      </w:tblPr>
      <w:tblGrid>
        <w:gridCol w:w="4608"/>
        <w:gridCol w:w="4608"/>
      </w:tblGrid>
      <w:tr w:rsidR="00F7160C" w14:paraId="4B46917C" w14:textId="77777777">
        <w:trPr>
          <w:cantSplit/>
          <w:jc w:val="center"/>
        </w:trPr>
        <w:tc>
          <w:tcPr>
            <w:tcW w:w="4608" w:type="dxa"/>
            <w:tcMar>
              <w:top w:w="10" w:type="dxa"/>
              <w:left w:w="30" w:type="dxa"/>
              <w:bottom w:w="10" w:type="dxa"/>
              <w:right w:w="30" w:type="dxa"/>
            </w:tcMar>
          </w:tcPr>
          <w:p w14:paraId="52D64A37" w14:textId="77777777" w:rsidR="00F7160C" w:rsidRDefault="00000000">
            <w:pPr>
              <w:spacing w:before="20" w:after="20"/>
              <w:jc w:val="center"/>
            </w:pPr>
            <w:r>
              <w:rPr>
                <w:noProof/>
              </w:rPr>
              <w:drawing>
                <wp:inline distT="0" distB="0" distL="0" distR="0" wp14:anchorId="5B310674" wp14:editId="02D16E41">
                  <wp:extent cx="2834640" cy="1173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8"/>
                          <a:stretch>
                            <a:fillRect/>
                          </a:stretch>
                        </pic:blipFill>
                        <pic:spPr>
                          <a:xfrm>
                            <a:off x="0" y="0"/>
                            <a:ext cx="2834640" cy="1173942"/>
                          </a:xfrm>
                          <a:prstGeom prst="rect">
                            <a:avLst/>
                          </a:prstGeom>
                        </pic:spPr>
                      </pic:pic>
                    </a:graphicData>
                  </a:graphic>
                </wp:inline>
              </w:drawing>
            </w:r>
          </w:p>
          <w:p w14:paraId="01E9FEEB" w14:textId="77777777" w:rsidR="00F7160C" w:rsidRDefault="00000000">
            <w:pPr>
              <w:spacing w:before="20" w:line="276" w:lineRule="auto"/>
              <w:jc w:val="center"/>
            </w:pPr>
            <w:r>
              <w:rPr>
                <w:b/>
                <w:i/>
                <w:color w:val="46505F"/>
                <w:sz w:val="17"/>
              </w:rPr>
              <w:t>Figure 4.1: 3-Tier Static JAMstack Architecture</w:t>
            </w:r>
          </w:p>
        </w:tc>
        <w:tc>
          <w:tcPr>
            <w:tcW w:w="4608" w:type="dxa"/>
            <w:tcMar>
              <w:top w:w="10" w:type="dxa"/>
              <w:left w:w="30" w:type="dxa"/>
              <w:bottom w:w="10" w:type="dxa"/>
              <w:right w:w="30" w:type="dxa"/>
            </w:tcMar>
          </w:tcPr>
          <w:p w14:paraId="08E5362C" w14:textId="77777777" w:rsidR="00F7160C" w:rsidRDefault="00000000">
            <w:pPr>
              <w:spacing w:before="20" w:after="20"/>
              <w:jc w:val="center"/>
            </w:pPr>
            <w:r>
              <w:rPr>
                <w:noProof/>
              </w:rPr>
              <w:drawing>
                <wp:inline distT="0" distB="0" distL="0" distR="0" wp14:anchorId="377F6C7C" wp14:editId="2E71A5B8">
                  <wp:extent cx="2834640" cy="1173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data_flow.png"/>
                          <pic:cNvPicPr/>
                        </pic:nvPicPr>
                        <pic:blipFill>
                          <a:blip r:embed="rId9"/>
                          <a:stretch>
                            <a:fillRect/>
                          </a:stretch>
                        </pic:blipFill>
                        <pic:spPr>
                          <a:xfrm>
                            <a:off x="0" y="0"/>
                            <a:ext cx="2834640" cy="1173942"/>
                          </a:xfrm>
                          <a:prstGeom prst="rect">
                            <a:avLst/>
                          </a:prstGeom>
                        </pic:spPr>
                      </pic:pic>
                    </a:graphicData>
                  </a:graphic>
                </wp:inline>
              </w:drawing>
            </w:r>
          </w:p>
          <w:p w14:paraId="5C5BDD53" w14:textId="77777777" w:rsidR="00F7160C" w:rsidRDefault="00000000">
            <w:pPr>
              <w:spacing w:before="20" w:line="276" w:lineRule="auto"/>
              <w:jc w:val="center"/>
            </w:pPr>
            <w:r>
              <w:rPr>
                <w:b/>
                <w:i/>
                <w:color w:val="46505F"/>
                <w:sz w:val="17"/>
              </w:rPr>
              <w:t>Figure 4.2: Zero-Database Docket Data Pipeline</w:t>
            </w:r>
          </w:p>
        </w:tc>
      </w:tr>
    </w:tbl>
    <w:p w14:paraId="6D481284" w14:textId="77777777" w:rsidR="00F7160C" w:rsidRDefault="00000000">
      <w:pPr>
        <w:keepNext/>
        <w:spacing w:before="120" w:after="30"/>
      </w:pPr>
      <w:r>
        <w:rPr>
          <w:b/>
          <w:color w:val="132238"/>
        </w:rPr>
        <w:t>4.2 Statutory Non-Solicitation Compliance Architecture (BCI Rule 36)</w:t>
      </w:r>
    </w:p>
    <w:p w14:paraId="00FB554E" w14:textId="77777777" w:rsidR="00F7160C" w:rsidRDefault="00000000">
      <w:pPr>
        <w:jc w:val="both"/>
      </w:pPr>
      <w:r>
        <w:t>To ensure strict adherence to Bar Council of India Rule 36, two architectural safeguards are permanently embedded: (1) A mandatory visitor consent gate on entry requiring users to voluntarily affirm they seek legal information of their own accord; and (2) An objective, non-solicitative presentation of legal competencies, academic qualifications, and verified judicial track records without commercial guarantees.</w:t>
      </w:r>
    </w:p>
    <w:p w14:paraId="450454D9" w14:textId="77777777" w:rsidR="00F7160C" w:rsidRDefault="00000000">
      <w:pPr>
        <w:keepNext/>
        <w:spacing w:before="160"/>
      </w:pPr>
      <w:r>
        <w:rPr>
          <w:b/>
          <w:color w:val="0D1B2A"/>
        </w:rPr>
        <w:lastRenderedPageBreak/>
        <w:t>5. Important Code Base &amp; Rendered Output</w:t>
      </w:r>
    </w:p>
    <w:p w14:paraId="5237D58F" w14:textId="77777777" w:rsidR="00F7160C" w:rsidRDefault="00000000">
      <w:pPr>
        <w:jc w:val="both"/>
      </w:pPr>
      <w:r>
        <w:t>The following modules present the critical source code algorithms implemented in the platform, paired immediately with their actual visual rendered output screenshots captured from the live application:</w:t>
      </w:r>
    </w:p>
    <w:p w14:paraId="4308B441" w14:textId="77777777" w:rsidR="00F7160C" w:rsidRDefault="00000000">
      <w:pPr>
        <w:keepNext/>
        <w:spacing w:before="120" w:after="30"/>
      </w:pPr>
      <w:r>
        <w:rPr>
          <w:b/>
          <w:color w:val="132238"/>
        </w:rPr>
        <w:t>5.1 Ceremonial Scales &amp; Silk Ribbon Opening Preloader</w:t>
      </w:r>
    </w:p>
    <w:tbl>
      <w:tblPr>
        <w:tblW w:w="0" w:type="auto"/>
        <w:jc w:val="center"/>
        <w:tblLook w:val="04A0" w:firstRow="1" w:lastRow="0" w:firstColumn="1" w:lastColumn="0" w:noHBand="0" w:noVBand="1"/>
      </w:tblPr>
      <w:tblGrid>
        <w:gridCol w:w="9360"/>
      </w:tblGrid>
      <w:tr w:rsidR="00F7160C" w14:paraId="25097EC0"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3FF7EB45" w14:textId="60F47D30" w:rsidR="00F7160C" w:rsidRDefault="00000000">
            <w:pPr>
              <w:spacing w:after="30"/>
            </w:pPr>
            <w:r>
              <w:rPr>
                <w:rFonts w:ascii="Consolas" w:hAnsi="Consolas"/>
                <w:b/>
                <w:color w:val="0D1B2A"/>
                <w:sz w:val="18"/>
              </w:rPr>
              <w:t xml:space="preserve">Source Code Implementation: </w:t>
            </w:r>
            <w:proofErr w:type="spellStart"/>
            <w:r>
              <w:rPr>
                <w:rFonts w:ascii="Consolas" w:hAnsi="Consolas"/>
                <w:b/>
                <w:color w:val="0D1B2A"/>
                <w:sz w:val="18"/>
              </w:rPr>
              <w:t>Preloader</w:t>
            </w:r>
            <w:proofErr w:type="spellEnd"/>
            <w:r>
              <w:rPr>
                <w:rFonts w:ascii="Consolas" w:hAnsi="Consolas"/>
                <w:b/>
                <w:color w:val="0D1B2A"/>
                <w:sz w:val="18"/>
              </w:rPr>
              <w:t xml:space="preserve"> Lifecycle &amp; Damped Oscillation Keyframe Physics</w:t>
            </w:r>
            <w:r>
              <w:rPr>
                <w:rFonts w:ascii="Consolas" w:hAnsi="Consolas"/>
                <w:b/>
                <w:color w:val="0D1B2A"/>
                <w:sz w:val="18"/>
              </w:rPr>
              <w:br/>
            </w:r>
            <w:r>
              <w:rPr>
                <w:rFonts w:ascii="Consolas" w:hAnsi="Consolas"/>
                <w:sz w:val="17"/>
              </w:rPr>
              <w:t>// 3.5s Ceremonial Preloader Sequence &amp; Damped Beam Keyframe Animation</w:t>
            </w:r>
            <w:r>
              <w:rPr>
                <w:rFonts w:ascii="Consolas" w:hAnsi="Consolas"/>
                <w:sz w:val="17"/>
              </w:rPr>
              <w:br/>
              <w:t>const preloader = document.getElementById('preloader');</w:t>
            </w:r>
            <w:r>
              <w:rPr>
                <w:rFonts w:ascii="Consolas" w:hAnsi="Consolas"/>
                <w:sz w:val="17"/>
              </w:rPr>
              <w:br/>
              <w:t xml:space="preserve">const </w:t>
            </w:r>
            <w:proofErr w:type="spellStart"/>
            <w:r>
              <w:rPr>
                <w:rFonts w:ascii="Consolas" w:hAnsi="Consolas"/>
                <w:sz w:val="17"/>
              </w:rPr>
              <w:t>statusText</w:t>
            </w:r>
            <w:proofErr w:type="spellEnd"/>
            <w:r>
              <w:rPr>
                <w:rFonts w:ascii="Consolas" w:hAnsi="Consolas"/>
                <w:sz w:val="17"/>
              </w:rPr>
              <w:t xml:space="preserve"> = </w:t>
            </w:r>
            <w:proofErr w:type="spellStart"/>
            <w:r>
              <w:rPr>
                <w:rFonts w:ascii="Consolas" w:hAnsi="Consolas"/>
                <w:sz w:val="17"/>
              </w:rPr>
              <w:t>document.getElementById</w:t>
            </w:r>
            <w:proofErr w:type="spellEnd"/>
            <w:r>
              <w:rPr>
                <w:rFonts w:ascii="Consolas" w:hAnsi="Consolas"/>
                <w:sz w:val="17"/>
              </w:rPr>
              <w:t>('</w:t>
            </w:r>
            <w:proofErr w:type="spellStart"/>
            <w:r>
              <w:rPr>
                <w:rFonts w:ascii="Consolas" w:hAnsi="Consolas"/>
                <w:sz w:val="17"/>
              </w:rPr>
              <w:t>preloader</w:t>
            </w:r>
            <w:proofErr w:type="spellEnd"/>
            <w:r>
              <w:rPr>
                <w:rFonts w:ascii="Consolas" w:hAnsi="Consolas"/>
                <w:sz w:val="17"/>
              </w:rPr>
              <w:t>-status');</w:t>
            </w:r>
            <w:r>
              <w:rPr>
                <w:rFonts w:ascii="Consolas" w:hAnsi="Consolas"/>
                <w:sz w:val="17"/>
              </w:rPr>
              <w:br/>
            </w:r>
            <w:proofErr w:type="spellStart"/>
            <w:r>
              <w:rPr>
                <w:rFonts w:ascii="Consolas" w:hAnsi="Consolas"/>
                <w:sz w:val="17"/>
              </w:rPr>
              <w:t>setTimeout</w:t>
            </w:r>
            <w:proofErr w:type="spellEnd"/>
            <w:r>
              <w:rPr>
                <w:rFonts w:ascii="Consolas" w:hAnsi="Consolas"/>
                <w:sz w:val="17"/>
              </w:rPr>
              <w:t>(() =&gt; { if (statusText) statusText.textContent = "Opening Chamber Docket..."; }, 1600);</w:t>
            </w:r>
            <w:r>
              <w:rPr>
                <w:rFonts w:ascii="Consolas" w:hAnsi="Consolas"/>
                <w:sz w:val="17"/>
              </w:rPr>
              <w:br/>
              <w:t>setTimeout(() =&gt; { if (statusText) statusText.textContent = "Entering Judicial Chambers..."; }, 2800);</w:t>
            </w:r>
            <w:r>
              <w:rPr>
                <w:rFonts w:ascii="Consolas" w:hAnsi="Consolas"/>
                <w:sz w:val="17"/>
              </w:rPr>
              <w:br/>
              <w:t>setTimeout(() =&gt; {</w:t>
            </w:r>
            <w:r>
              <w:rPr>
                <w:rFonts w:ascii="Consolas" w:hAnsi="Consolas"/>
                <w:sz w:val="17"/>
              </w:rPr>
              <w:br/>
              <w:t xml:space="preserve">    if (preloader) {</w:t>
            </w:r>
            <w:r>
              <w:rPr>
                <w:rFonts w:ascii="Consolas" w:hAnsi="Consolas"/>
                <w:sz w:val="17"/>
              </w:rPr>
              <w:br/>
              <w:t xml:space="preserve">        preloader.classList.add('loaded'); // Triggers opacity &amp; visibility CSS transition</w:t>
            </w:r>
            <w:r>
              <w:rPr>
                <w:rFonts w:ascii="Consolas" w:hAnsi="Consolas"/>
                <w:sz w:val="17"/>
              </w:rPr>
              <w:br/>
              <w:t xml:space="preserve">    }</w:t>
            </w:r>
            <w:r>
              <w:rPr>
                <w:rFonts w:ascii="Consolas" w:hAnsi="Consolas"/>
                <w:sz w:val="17"/>
              </w:rPr>
              <w:br/>
              <w:t>}, 3500);</w:t>
            </w:r>
            <w:r>
              <w:rPr>
                <w:rFonts w:ascii="Consolas" w:hAnsi="Consolas"/>
                <w:sz w:val="17"/>
              </w:rPr>
              <w:br/>
              <w:t>/* CSS Damped Weighing Beam Keyframes */</w:t>
            </w:r>
            <w:r>
              <w:rPr>
                <w:rFonts w:ascii="Consolas" w:hAnsi="Consolas"/>
                <w:sz w:val="17"/>
              </w:rPr>
              <w:br/>
              <w:t>@keyframes weighMotion {</w:t>
            </w:r>
            <w:r>
              <w:rPr>
                <w:rFonts w:ascii="Consolas" w:hAnsi="Consolas"/>
                <w:sz w:val="17"/>
              </w:rPr>
              <w:br/>
              <w:t xml:space="preserve">    0%   { transform: rotate(0deg); }</w:t>
            </w:r>
            <w:r>
              <w:rPr>
                <w:rFonts w:ascii="Consolas" w:hAnsi="Consolas"/>
                <w:sz w:val="17"/>
              </w:rPr>
              <w:br/>
              <w:t xml:space="preserve">    20%  { transform: rotate(-14deg); }</w:t>
            </w:r>
            <w:r>
              <w:rPr>
                <w:rFonts w:ascii="Consolas" w:hAnsi="Consolas"/>
                <w:sz w:val="17"/>
              </w:rPr>
              <w:br/>
              <w:t xml:space="preserve">    45%  { transform: rotate(11deg); }</w:t>
            </w:r>
            <w:r>
              <w:rPr>
                <w:rFonts w:ascii="Consolas" w:hAnsi="Consolas"/>
                <w:sz w:val="17"/>
              </w:rPr>
              <w:br/>
              <w:t xml:space="preserve">    70%  { transform: rotate(-5deg); }</w:t>
            </w:r>
            <w:r>
              <w:rPr>
                <w:rFonts w:ascii="Consolas" w:hAnsi="Consolas"/>
                <w:sz w:val="17"/>
              </w:rPr>
              <w:br/>
              <w:t xml:space="preserve">    90%  { transform: rotate(1deg); }</w:t>
            </w:r>
            <w:r>
              <w:rPr>
                <w:rFonts w:ascii="Consolas" w:hAnsi="Consolas"/>
                <w:sz w:val="17"/>
              </w:rPr>
              <w:br/>
              <w:t xml:space="preserve">    100% { transform: rotate(0deg); }</w:t>
            </w:r>
            <w:r>
              <w:rPr>
                <w:rFonts w:ascii="Consolas" w:hAnsi="Consolas"/>
                <w:sz w:val="17"/>
              </w:rPr>
              <w:br/>
              <w:t>}</w:t>
            </w:r>
          </w:p>
        </w:tc>
      </w:tr>
    </w:tbl>
    <w:p w14:paraId="29B40CDA" w14:textId="17B6EDEF" w:rsidR="001E2E85" w:rsidRDefault="00000000">
      <w:pPr>
        <w:keepNext/>
        <w:spacing w:before="20" w:line="300" w:lineRule="auto"/>
        <w:jc w:val="both"/>
        <w:rPr>
          <w:i/>
          <w:color w:val="46505F"/>
          <w:sz w:val="20"/>
        </w:rPr>
      </w:pPr>
      <w:r>
        <w:rPr>
          <w:i/>
          <w:color w:val="46505F"/>
          <w:sz w:val="20"/>
        </w:rPr>
        <w:t>Technical Insight: Implements a timed 3.5-second ceremonial entrance animation. Dual SVG scales execute a realistic physical balancing oscillation using a multi-stage cubic-bezier curve before smooth DOM dismissal.</w:t>
      </w:r>
    </w:p>
    <w:p w14:paraId="5AB191E6" w14:textId="77777777" w:rsidR="001E2E85" w:rsidRDefault="001E2E85">
      <w:pPr>
        <w:keepNext/>
        <w:spacing w:before="20" w:line="300" w:lineRule="auto"/>
        <w:jc w:val="both"/>
      </w:pPr>
    </w:p>
    <w:p w14:paraId="3AB01912" w14:textId="77777777" w:rsidR="00F7160C" w:rsidRDefault="00000000">
      <w:pPr>
        <w:keepNext/>
        <w:spacing w:before="40" w:after="20"/>
        <w:jc w:val="center"/>
      </w:pPr>
      <w:r>
        <w:rPr>
          <w:noProof/>
        </w:rPr>
        <w:drawing>
          <wp:inline distT="0" distB="0" distL="0" distR="0" wp14:anchorId="58EF5810" wp14:editId="6AE975B5">
            <wp:extent cx="3959726" cy="1880870"/>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oader_animation.png"/>
                    <pic:cNvPicPr/>
                  </pic:nvPicPr>
                  <pic:blipFill>
                    <a:blip r:embed="rId10"/>
                    <a:stretch>
                      <a:fillRect/>
                    </a:stretch>
                  </pic:blipFill>
                  <pic:spPr>
                    <a:xfrm>
                      <a:off x="0" y="0"/>
                      <a:ext cx="3960369" cy="1881176"/>
                    </a:xfrm>
                    <a:prstGeom prst="rect">
                      <a:avLst/>
                    </a:prstGeom>
                  </pic:spPr>
                </pic:pic>
              </a:graphicData>
            </a:graphic>
          </wp:inline>
        </w:drawing>
      </w:r>
    </w:p>
    <w:p w14:paraId="10BE8CB3" w14:textId="77777777" w:rsidR="00F7160C" w:rsidRDefault="00000000">
      <w:pPr>
        <w:spacing w:before="20" w:after="60" w:line="276" w:lineRule="auto"/>
        <w:jc w:val="center"/>
      </w:pPr>
      <w:r>
        <w:rPr>
          <w:b/>
          <w:i/>
          <w:color w:val="46505F"/>
          <w:sz w:val="19"/>
        </w:rPr>
        <w:t>Figure 5.1: Live Rendered Output – Opening Preloader with SVG Scales of Justice, Silk Ribbon, and Progress Tracker</w:t>
      </w:r>
    </w:p>
    <w:p w14:paraId="79287B9A" w14:textId="77777777" w:rsidR="00F7160C" w:rsidRDefault="00000000">
      <w:pPr>
        <w:keepNext/>
        <w:spacing w:before="120" w:after="30"/>
      </w:pPr>
      <w:r>
        <w:rPr>
          <w:b/>
          <w:color w:val="132238"/>
        </w:rPr>
        <w:lastRenderedPageBreak/>
        <w:t>5.2 GPU-Accelerated Cursor Follower with LERP Mathematics &amp; Hero Layout</w:t>
      </w:r>
    </w:p>
    <w:tbl>
      <w:tblPr>
        <w:tblW w:w="0" w:type="auto"/>
        <w:jc w:val="center"/>
        <w:tblLook w:val="04A0" w:firstRow="1" w:lastRow="0" w:firstColumn="1" w:lastColumn="0" w:noHBand="0" w:noVBand="1"/>
      </w:tblPr>
      <w:tblGrid>
        <w:gridCol w:w="9360"/>
      </w:tblGrid>
      <w:tr w:rsidR="00F7160C" w14:paraId="18A6B29C"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211AB537" w14:textId="77777777" w:rsidR="00F7160C" w:rsidRDefault="00000000">
            <w:pPr>
              <w:spacing w:after="30"/>
            </w:pPr>
            <w:r>
              <w:rPr>
                <w:rFonts w:ascii="Consolas" w:hAnsi="Consolas"/>
                <w:b/>
                <w:color w:val="0D1B2A"/>
                <w:sz w:val="18"/>
              </w:rPr>
              <w:t>Source Code Implementation: LERP Interpolation Tracking Loop &amp; Hero Presentation</w:t>
            </w:r>
            <w:r>
              <w:rPr>
                <w:rFonts w:ascii="Consolas" w:hAnsi="Consolas"/>
                <w:b/>
                <w:color w:val="0D1B2A"/>
                <w:sz w:val="18"/>
              </w:rPr>
              <w:br/>
            </w:r>
            <w:r>
              <w:rPr>
                <w:rFonts w:ascii="Consolas" w:hAnsi="Consolas"/>
                <w:sz w:val="17"/>
              </w:rPr>
              <w:t>// Smooth Custom Cursor Follower with Linear Interpolation (LERP)</w:t>
            </w:r>
            <w:r>
              <w:rPr>
                <w:rFonts w:ascii="Consolas" w:hAnsi="Consolas"/>
                <w:sz w:val="17"/>
              </w:rPr>
              <w:br/>
              <w:t>const follower = document.getElementById('cursor-follower');</w:t>
            </w:r>
            <w:r>
              <w:rPr>
                <w:rFonts w:ascii="Consolas" w:hAnsi="Consolas"/>
                <w:sz w:val="17"/>
              </w:rPr>
              <w:br/>
              <w:t>const dot = document.getElementById('cursor-dot');</w:t>
            </w:r>
            <w:r>
              <w:rPr>
                <w:rFonts w:ascii="Consolas" w:hAnsi="Consolas"/>
                <w:sz w:val="17"/>
              </w:rPr>
              <w:br/>
              <w:t>let mouseX = -100, mouseY = -100, followerX = -100, followerY = -100;</w:t>
            </w:r>
            <w:r>
              <w:rPr>
                <w:rFonts w:ascii="Consolas" w:hAnsi="Consolas"/>
                <w:sz w:val="17"/>
              </w:rPr>
              <w:br/>
            </w:r>
            <w:r>
              <w:rPr>
                <w:rFonts w:ascii="Consolas" w:hAnsi="Consolas"/>
                <w:sz w:val="17"/>
              </w:rPr>
              <w:br/>
              <w:t>window.addEventListener('mousemove', (e) =&gt; {</w:t>
            </w:r>
            <w:r>
              <w:rPr>
                <w:rFonts w:ascii="Consolas" w:hAnsi="Consolas"/>
                <w:sz w:val="17"/>
              </w:rPr>
              <w:br/>
              <w:t xml:space="preserve">    mouseX = e.clientX; mouseY = e.clientY;</w:t>
            </w:r>
            <w:r>
              <w:rPr>
                <w:rFonts w:ascii="Consolas" w:hAnsi="Consolas"/>
                <w:sz w:val="17"/>
              </w:rPr>
              <w:br/>
              <w:t xml:space="preserve">    if (dot) { dot.style.left = mouseX + 'px'; dot.style.top = mouseY + 'px'; }</w:t>
            </w:r>
            <w:r>
              <w:rPr>
                <w:rFonts w:ascii="Consolas" w:hAnsi="Consolas"/>
                <w:sz w:val="17"/>
              </w:rPr>
              <w:br/>
              <w:t>});</w:t>
            </w:r>
            <w:r>
              <w:rPr>
                <w:rFonts w:ascii="Consolas" w:hAnsi="Consolas"/>
                <w:sz w:val="17"/>
              </w:rPr>
              <w:br/>
            </w:r>
            <w:r>
              <w:rPr>
                <w:rFonts w:ascii="Consolas" w:hAnsi="Consolas"/>
                <w:sz w:val="17"/>
              </w:rPr>
              <w:br/>
              <w:t>function animateFollower() {</w:t>
            </w:r>
            <w:r>
              <w:rPr>
                <w:rFonts w:ascii="Consolas" w:hAnsi="Consolas"/>
                <w:sz w:val="17"/>
              </w:rPr>
              <w:br/>
              <w:t xml:space="preserve">    // Linear interpolation alpha = 0.15 for smooth, weighted physical tracking</w:t>
            </w:r>
            <w:r>
              <w:rPr>
                <w:rFonts w:ascii="Consolas" w:hAnsi="Consolas"/>
                <w:sz w:val="17"/>
              </w:rPr>
              <w:br/>
              <w:t xml:space="preserve">    followerX += (mouseX - followerX) * 0.15;</w:t>
            </w:r>
            <w:r>
              <w:rPr>
                <w:rFonts w:ascii="Consolas" w:hAnsi="Consolas"/>
                <w:sz w:val="17"/>
              </w:rPr>
              <w:br/>
              <w:t xml:space="preserve">    followerY += (mouseY - followerY) * 0.15;</w:t>
            </w:r>
            <w:r>
              <w:rPr>
                <w:rFonts w:ascii="Consolas" w:hAnsi="Consolas"/>
                <w:sz w:val="17"/>
              </w:rPr>
              <w:br/>
              <w:t xml:space="preserve">    if (follower) {</w:t>
            </w:r>
            <w:r>
              <w:rPr>
                <w:rFonts w:ascii="Consolas" w:hAnsi="Consolas"/>
                <w:sz w:val="17"/>
              </w:rPr>
              <w:br/>
              <w:t xml:space="preserve">        follower.style.left = followerX + 'px';</w:t>
            </w:r>
            <w:r>
              <w:rPr>
                <w:rFonts w:ascii="Consolas" w:hAnsi="Consolas"/>
                <w:sz w:val="17"/>
              </w:rPr>
              <w:br/>
              <w:t xml:space="preserve">        follower.style.top = followerY + 'px';</w:t>
            </w:r>
            <w:r>
              <w:rPr>
                <w:rFonts w:ascii="Consolas" w:hAnsi="Consolas"/>
                <w:sz w:val="17"/>
              </w:rPr>
              <w:br/>
              <w:t xml:space="preserve">    }</w:t>
            </w:r>
            <w:r>
              <w:rPr>
                <w:rFonts w:ascii="Consolas" w:hAnsi="Consolas"/>
                <w:sz w:val="17"/>
              </w:rPr>
              <w:br/>
              <w:t xml:space="preserve">    requestAnimationFrame(animateFollower);</w:t>
            </w:r>
            <w:r>
              <w:rPr>
                <w:rFonts w:ascii="Consolas" w:hAnsi="Consolas"/>
                <w:sz w:val="17"/>
              </w:rPr>
              <w:br/>
              <w:t>}</w:t>
            </w:r>
            <w:r>
              <w:rPr>
                <w:rFonts w:ascii="Consolas" w:hAnsi="Consolas"/>
                <w:sz w:val="17"/>
              </w:rPr>
              <w:br/>
              <w:t>requestAnimationFrame(animateFollower);</w:t>
            </w:r>
          </w:p>
        </w:tc>
      </w:tr>
    </w:tbl>
    <w:p w14:paraId="4E1EC3EB" w14:textId="77777777" w:rsidR="00F7160C" w:rsidRDefault="00000000">
      <w:pPr>
        <w:keepNext/>
        <w:spacing w:before="20" w:line="300" w:lineRule="auto"/>
        <w:jc w:val="both"/>
        <w:rPr>
          <w:i/>
          <w:color w:val="46505F"/>
          <w:sz w:val="20"/>
        </w:rPr>
      </w:pPr>
      <w:r>
        <w:rPr>
          <w:i/>
          <w:color w:val="46505F"/>
          <w:sz w:val="20"/>
        </w:rPr>
        <w:t>Technical Insight: Provides an organic, weighted cursor trailing effect using 60 FPS requestAnimationFrame mathematics, complementing the classical serif typography and gold accents of the Hero Section.</w:t>
      </w:r>
    </w:p>
    <w:p w14:paraId="7F4B6908" w14:textId="77777777" w:rsidR="001E2E85" w:rsidRDefault="001E2E85">
      <w:pPr>
        <w:keepNext/>
        <w:spacing w:before="20" w:line="300" w:lineRule="auto"/>
        <w:jc w:val="both"/>
        <w:rPr>
          <w:i/>
          <w:color w:val="46505F"/>
          <w:sz w:val="20"/>
        </w:rPr>
      </w:pPr>
    </w:p>
    <w:p w14:paraId="7E3016D1" w14:textId="77777777" w:rsidR="001E2E85" w:rsidRDefault="001E2E85">
      <w:pPr>
        <w:keepNext/>
        <w:spacing w:before="20" w:line="300" w:lineRule="auto"/>
        <w:jc w:val="both"/>
      </w:pPr>
    </w:p>
    <w:p w14:paraId="0D4EDF86" w14:textId="77777777" w:rsidR="00F7160C" w:rsidRDefault="00000000">
      <w:pPr>
        <w:keepNext/>
        <w:spacing w:before="40" w:after="20"/>
        <w:jc w:val="center"/>
      </w:pPr>
      <w:r>
        <w:rPr>
          <w:noProof/>
        </w:rPr>
        <w:drawing>
          <wp:inline distT="0" distB="0" distL="0" distR="0" wp14:anchorId="63DF4879" wp14:editId="7FB872C9">
            <wp:extent cx="5160211" cy="2451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1"/>
                    <a:stretch>
                      <a:fillRect/>
                    </a:stretch>
                  </pic:blipFill>
                  <pic:spPr>
                    <a:xfrm>
                      <a:off x="0" y="0"/>
                      <a:ext cx="5172300" cy="2456842"/>
                    </a:xfrm>
                    <a:prstGeom prst="rect">
                      <a:avLst/>
                    </a:prstGeom>
                  </pic:spPr>
                </pic:pic>
              </a:graphicData>
            </a:graphic>
          </wp:inline>
        </w:drawing>
      </w:r>
    </w:p>
    <w:p w14:paraId="25E1C04B" w14:textId="77777777" w:rsidR="00F7160C" w:rsidRDefault="00000000">
      <w:pPr>
        <w:spacing w:before="20" w:after="60" w:line="276" w:lineRule="auto"/>
        <w:jc w:val="center"/>
      </w:pPr>
      <w:r>
        <w:rPr>
          <w:b/>
          <w:i/>
          <w:color w:val="46505F"/>
          <w:sz w:val="19"/>
        </w:rPr>
        <w:t>Figure 5.2: Live Rendered Output – Hero Section with Serif Typography, Chamber Seal, and Quick Consultation Actions</w:t>
      </w:r>
    </w:p>
    <w:p w14:paraId="609AC1F4" w14:textId="77777777" w:rsidR="00F7160C" w:rsidRDefault="00000000">
      <w:pPr>
        <w:keepNext/>
        <w:spacing w:before="120" w:after="30"/>
      </w:pPr>
      <w:r>
        <w:rPr>
          <w:b/>
          <w:color w:val="132238"/>
        </w:rPr>
        <w:lastRenderedPageBreak/>
        <w:t>5.3 Counsel Leadership Profiles &amp; Practice Credential Cards</w:t>
      </w:r>
    </w:p>
    <w:tbl>
      <w:tblPr>
        <w:tblW w:w="0" w:type="auto"/>
        <w:jc w:val="center"/>
        <w:tblLook w:val="04A0" w:firstRow="1" w:lastRow="0" w:firstColumn="1" w:lastColumn="0" w:noHBand="0" w:noVBand="1"/>
      </w:tblPr>
      <w:tblGrid>
        <w:gridCol w:w="9360"/>
      </w:tblGrid>
      <w:tr w:rsidR="00F7160C" w14:paraId="6E0C05FA"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2C0F9D23" w14:textId="77777777" w:rsidR="00F7160C" w:rsidRDefault="00000000">
            <w:pPr>
              <w:spacing w:after="30"/>
            </w:pPr>
            <w:r>
              <w:rPr>
                <w:rFonts w:ascii="Consolas" w:hAnsi="Consolas"/>
                <w:b/>
                <w:color w:val="0D1B2A"/>
                <w:sz w:val="18"/>
              </w:rPr>
              <w:t>Source Code Implementation: CSS Grid Counsel Profile Cards with Interactive Elevations</w:t>
            </w:r>
            <w:r>
              <w:rPr>
                <w:rFonts w:ascii="Consolas" w:hAnsi="Consolas"/>
                <w:b/>
                <w:color w:val="0D1B2A"/>
                <w:sz w:val="18"/>
              </w:rPr>
              <w:br/>
            </w:r>
            <w:r>
              <w:rPr>
                <w:rFonts w:ascii="Consolas" w:hAnsi="Consolas"/>
                <w:sz w:val="17"/>
              </w:rPr>
              <w:t>/* Responsive Dual Counsel Profile Cards with Gold Borders */</w:t>
            </w:r>
            <w:r>
              <w:rPr>
                <w:rFonts w:ascii="Consolas" w:hAnsi="Consolas"/>
                <w:sz w:val="17"/>
              </w:rPr>
              <w:br/>
              <w:t>.counsel-grid {</w:t>
            </w:r>
            <w:r>
              <w:rPr>
                <w:rFonts w:ascii="Consolas" w:hAnsi="Consolas"/>
                <w:sz w:val="17"/>
              </w:rPr>
              <w:br/>
              <w:t xml:space="preserve">    display: grid;</w:t>
            </w:r>
            <w:r>
              <w:rPr>
                <w:rFonts w:ascii="Consolas" w:hAnsi="Consolas"/>
                <w:sz w:val="17"/>
              </w:rPr>
              <w:br/>
              <w:t xml:space="preserve">    grid-template-columns: repeat(auto-fit, minmax(320px, 1fr));</w:t>
            </w:r>
            <w:r>
              <w:rPr>
                <w:rFonts w:ascii="Consolas" w:hAnsi="Consolas"/>
                <w:sz w:val="17"/>
              </w:rPr>
              <w:br/>
              <w:t xml:space="preserve">    gap: 2.2rem;</w:t>
            </w:r>
            <w:r>
              <w:rPr>
                <w:rFonts w:ascii="Consolas" w:hAnsi="Consolas"/>
                <w:sz w:val="17"/>
              </w:rPr>
              <w:br/>
              <w:t xml:space="preserve">    margin-top: 2rem;</w:t>
            </w:r>
            <w:r>
              <w:rPr>
                <w:rFonts w:ascii="Consolas" w:hAnsi="Consolas"/>
                <w:sz w:val="17"/>
              </w:rPr>
              <w:br/>
              <w:t>}</w:t>
            </w:r>
            <w:r>
              <w:rPr>
                <w:rFonts w:ascii="Consolas" w:hAnsi="Consolas"/>
                <w:sz w:val="17"/>
              </w:rPr>
              <w:br/>
              <w:t>.counsel-card {</w:t>
            </w:r>
            <w:r>
              <w:rPr>
                <w:rFonts w:ascii="Consolas" w:hAnsi="Consolas"/>
                <w:sz w:val="17"/>
              </w:rPr>
              <w:br/>
              <w:t xml:space="preserve">    background: linear-gradient(135deg, rgba(16, 27, 43, 0.7) 0%, rgba(6, 11, 18, 0.9) 100%);</w:t>
            </w:r>
            <w:r>
              <w:rPr>
                <w:rFonts w:ascii="Consolas" w:hAnsi="Consolas"/>
                <w:sz w:val="17"/>
              </w:rPr>
              <w:br/>
              <w:t xml:space="preserve">    border: 1px solid rgba(201, 168, 76, 0.35);</w:t>
            </w:r>
            <w:r>
              <w:rPr>
                <w:rFonts w:ascii="Consolas" w:hAnsi="Consolas"/>
                <w:sz w:val="17"/>
              </w:rPr>
              <w:br/>
              <w:t xml:space="preserve">    border-radius: 6px;</w:t>
            </w:r>
            <w:r>
              <w:rPr>
                <w:rFonts w:ascii="Consolas" w:hAnsi="Consolas"/>
                <w:sz w:val="17"/>
              </w:rPr>
              <w:br/>
              <w:t xml:space="preserve">    padding: 2.4rem 2rem;</w:t>
            </w:r>
            <w:r>
              <w:rPr>
                <w:rFonts w:ascii="Consolas" w:hAnsi="Consolas"/>
                <w:sz w:val="17"/>
              </w:rPr>
              <w:br/>
              <w:t xml:space="preserve">    position: relative;</w:t>
            </w:r>
            <w:r>
              <w:rPr>
                <w:rFonts w:ascii="Consolas" w:hAnsi="Consolas"/>
                <w:sz w:val="17"/>
              </w:rPr>
              <w:br/>
              <w:t xml:space="preserve">    transition: transform 0.35s ease, border-color 0.35s ease, box-shadow 0.35s ease;</w:t>
            </w:r>
            <w:r>
              <w:rPr>
                <w:rFonts w:ascii="Consolas" w:hAnsi="Consolas"/>
                <w:sz w:val="17"/>
              </w:rPr>
              <w:br/>
              <w:t>}</w:t>
            </w:r>
            <w:r>
              <w:rPr>
                <w:rFonts w:ascii="Consolas" w:hAnsi="Consolas"/>
                <w:sz w:val="17"/>
              </w:rPr>
              <w:br/>
              <w:t>.counsel-card:hover {</w:t>
            </w:r>
            <w:r>
              <w:rPr>
                <w:rFonts w:ascii="Consolas" w:hAnsi="Consolas"/>
                <w:sz w:val="17"/>
              </w:rPr>
              <w:br/>
              <w:t xml:space="preserve">    transform: translateY(-6px);</w:t>
            </w:r>
            <w:r>
              <w:rPr>
                <w:rFonts w:ascii="Consolas" w:hAnsi="Consolas"/>
                <w:sz w:val="17"/>
              </w:rPr>
              <w:br/>
              <w:t xml:space="preserve">    border-color: var(--gold);</w:t>
            </w:r>
            <w:r>
              <w:rPr>
                <w:rFonts w:ascii="Consolas" w:hAnsi="Consolas"/>
                <w:sz w:val="17"/>
              </w:rPr>
              <w:br/>
              <w:t xml:space="preserve">    box-shadow: 0 12px 30px rgba(0, 0, 0, 0.5), 0 0 20px rgba(201, 168, 76, 0.2);</w:t>
            </w:r>
            <w:r>
              <w:rPr>
                <w:rFonts w:ascii="Consolas" w:hAnsi="Consolas"/>
                <w:sz w:val="17"/>
              </w:rPr>
              <w:br/>
              <w:t>}</w:t>
            </w:r>
          </w:p>
        </w:tc>
      </w:tr>
    </w:tbl>
    <w:p w14:paraId="5E4E45D9" w14:textId="77777777" w:rsidR="00F7160C" w:rsidRDefault="00000000">
      <w:pPr>
        <w:keepNext/>
        <w:spacing w:before="20" w:line="300" w:lineRule="auto"/>
        <w:jc w:val="both"/>
        <w:rPr>
          <w:i/>
          <w:color w:val="46505F"/>
          <w:sz w:val="20"/>
        </w:rPr>
      </w:pPr>
      <w:r>
        <w:rPr>
          <w:i/>
          <w:color w:val="46505F"/>
          <w:sz w:val="20"/>
        </w:rPr>
        <w:t>Technical Insight: Constructs high-contrast leadership profile cards highlighting bar admissions, academic degrees, and high court standing with subtle micro-interactions on hover.</w:t>
      </w:r>
    </w:p>
    <w:p w14:paraId="098B1404" w14:textId="77777777" w:rsidR="001E2E85" w:rsidRDefault="001E2E85">
      <w:pPr>
        <w:keepNext/>
        <w:spacing w:before="20" w:line="300" w:lineRule="auto"/>
        <w:jc w:val="both"/>
        <w:rPr>
          <w:i/>
          <w:color w:val="46505F"/>
          <w:sz w:val="20"/>
        </w:rPr>
      </w:pPr>
    </w:p>
    <w:p w14:paraId="00D6658B" w14:textId="77777777" w:rsidR="001E2E85" w:rsidRDefault="001E2E85">
      <w:pPr>
        <w:keepNext/>
        <w:spacing w:before="20" w:line="300" w:lineRule="auto"/>
        <w:jc w:val="both"/>
      </w:pPr>
    </w:p>
    <w:p w14:paraId="7BDA83C0" w14:textId="77777777" w:rsidR="00F7160C" w:rsidRDefault="00000000">
      <w:pPr>
        <w:keepNext/>
        <w:spacing w:before="40" w:after="20"/>
        <w:jc w:val="center"/>
      </w:pPr>
      <w:r>
        <w:rPr>
          <w:noProof/>
        </w:rPr>
        <w:drawing>
          <wp:inline distT="0" distB="0" distL="0" distR="0" wp14:anchorId="0EB7DAA4" wp14:editId="51F23013">
            <wp:extent cx="5775157"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dvocates.png"/>
                    <pic:cNvPicPr/>
                  </pic:nvPicPr>
                  <pic:blipFill>
                    <a:blip r:embed="rId12"/>
                    <a:stretch>
                      <a:fillRect/>
                    </a:stretch>
                  </pic:blipFill>
                  <pic:spPr>
                    <a:xfrm>
                      <a:off x="0" y="0"/>
                      <a:ext cx="5780914" cy="2745935"/>
                    </a:xfrm>
                    <a:prstGeom prst="rect">
                      <a:avLst/>
                    </a:prstGeom>
                  </pic:spPr>
                </pic:pic>
              </a:graphicData>
            </a:graphic>
          </wp:inline>
        </w:drawing>
      </w:r>
    </w:p>
    <w:p w14:paraId="08FD4880" w14:textId="77777777" w:rsidR="00F7160C" w:rsidRDefault="00000000">
      <w:pPr>
        <w:spacing w:before="20" w:after="60" w:line="276" w:lineRule="auto"/>
        <w:jc w:val="center"/>
      </w:pPr>
      <w:r>
        <w:rPr>
          <w:b/>
          <w:i/>
          <w:color w:val="46505F"/>
          <w:sz w:val="19"/>
        </w:rPr>
        <w:t>Figure 5.3: Live Rendered Output – Senior Counsel Profile Showcase and Bar Credentials</w:t>
      </w:r>
    </w:p>
    <w:p w14:paraId="77D311C4" w14:textId="77777777" w:rsidR="00F7160C" w:rsidRDefault="00000000">
      <w:pPr>
        <w:keepNext/>
        <w:spacing w:before="120" w:after="30"/>
      </w:pPr>
      <w:r>
        <w:rPr>
          <w:b/>
          <w:color w:val="132238"/>
        </w:rPr>
        <w:lastRenderedPageBreak/>
        <w:t>5.4 Interactive Scales Tipping Physics &amp; Practice Area Dossiers</w:t>
      </w:r>
    </w:p>
    <w:tbl>
      <w:tblPr>
        <w:tblW w:w="0" w:type="auto"/>
        <w:jc w:val="center"/>
        <w:tblLook w:val="04A0" w:firstRow="1" w:lastRow="0" w:firstColumn="1" w:lastColumn="0" w:noHBand="0" w:noVBand="1"/>
      </w:tblPr>
      <w:tblGrid>
        <w:gridCol w:w="9360"/>
      </w:tblGrid>
      <w:tr w:rsidR="00F7160C" w14:paraId="5905F8F1"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775D800A" w14:textId="77777777" w:rsidR="00F7160C" w:rsidRDefault="00000000">
            <w:pPr>
              <w:spacing w:after="30"/>
            </w:pPr>
            <w:r>
              <w:rPr>
                <w:rFonts w:ascii="Consolas" w:hAnsi="Consolas"/>
                <w:b/>
                <w:color w:val="0D1B2A"/>
                <w:sz w:val="18"/>
              </w:rPr>
              <w:t>Source Code Implementation: Dynamic SVG Beam Tipping &amp; Gravitational Counter-Rotation</w:t>
            </w:r>
            <w:r>
              <w:rPr>
                <w:rFonts w:ascii="Consolas" w:hAnsi="Consolas"/>
                <w:b/>
                <w:color w:val="0D1B2A"/>
                <w:sz w:val="18"/>
              </w:rPr>
              <w:br/>
            </w:r>
            <w:r>
              <w:rPr>
                <w:rFonts w:ascii="Consolas" w:hAnsi="Consolas"/>
                <w:sz w:val="17"/>
              </w:rPr>
              <w:t>// Dynamic Scales Tipping Physics on Practice Area Selection</w:t>
            </w:r>
            <w:r>
              <w:rPr>
                <w:rFonts w:ascii="Consolas" w:hAnsi="Consolas"/>
                <w:sz w:val="17"/>
              </w:rPr>
              <w:br/>
              <w:t>window.tiltInteractiveScales = function(deg) {</w:t>
            </w:r>
            <w:r>
              <w:rPr>
                <w:rFonts w:ascii="Consolas" w:hAnsi="Consolas"/>
                <w:sz w:val="17"/>
              </w:rPr>
              <w:br/>
              <w:t xml:space="preserve">    const beam = document.getElementById('interactive-beam');</w:t>
            </w:r>
            <w:r>
              <w:rPr>
                <w:rFonts w:ascii="Consolas" w:hAnsi="Consolas"/>
                <w:sz w:val="17"/>
              </w:rPr>
              <w:br/>
              <w:t xml:space="preserve">    const leftPan = document.getElementById('scales-pan-left');</w:t>
            </w:r>
            <w:r>
              <w:rPr>
                <w:rFonts w:ascii="Consolas" w:hAnsi="Consolas"/>
                <w:sz w:val="17"/>
              </w:rPr>
              <w:br/>
              <w:t xml:space="preserve">    const rightPan = document.getElementById('scales-pan-right');</w:t>
            </w:r>
            <w:r>
              <w:rPr>
                <w:rFonts w:ascii="Consolas" w:hAnsi="Consolas"/>
                <w:sz w:val="17"/>
              </w:rPr>
              <w:br/>
              <w:t xml:space="preserve">    if (!beam) return;</w:t>
            </w:r>
            <w:r>
              <w:rPr>
                <w:rFonts w:ascii="Consolas" w:hAnsi="Consolas"/>
                <w:sz w:val="17"/>
              </w:rPr>
              <w:br/>
            </w:r>
            <w:r>
              <w:rPr>
                <w:rFonts w:ascii="Consolas" w:hAnsi="Consolas"/>
                <w:sz w:val="17"/>
              </w:rPr>
              <w:br/>
              <w:t xml:space="preserve">    // Rotate central crossbeam with spring damping curve</w:t>
            </w:r>
            <w:r>
              <w:rPr>
                <w:rFonts w:ascii="Consolas" w:hAnsi="Consolas"/>
                <w:sz w:val="17"/>
              </w:rPr>
              <w:br/>
              <w:t xml:space="preserve">    beam.style.transform = `rotate(${deg}deg)`;</w:t>
            </w:r>
            <w:r>
              <w:rPr>
                <w:rFonts w:ascii="Consolas" w:hAnsi="Consolas"/>
                <w:sz w:val="17"/>
              </w:rPr>
              <w:br/>
              <w:t xml:space="preserve">    beam.style.transition = 'transform 0.65s cubic-bezier(0.25, 1, 0.5, 1)';</w:t>
            </w:r>
            <w:r>
              <w:rPr>
                <w:rFonts w:ascii="Consolas" w:hAnsi="Consolas"/>
                <w:sz w:val="17"/>
              </w:rPr>
              <w:br/>
            </w:r>
            <w:r>
              <w:rPr>
                <w:rFonts w:ascii="Consolas" w:hAnsi="Consolas"/>
                <w:sz w:val="17"/>
              </w:rPr>
              <w:br/>
              <w:t xml:space="preserve">    // Counter-rotate hanging pans to maintain gravity-perpendicular orientation</w:t>
            </w:r>
            <w:r>
              <w:rPr>
                <w:rFonts w:ascii="Consolas" w:hAnsi="Consolas"/>
                <w:sz w:val="17"/>
              </w:rPr>
              <w:br/>
              <w:t xml:space="preserve">    if (leftPan &amp;&amp; rightPan) {</w:t>
            </w:r>
            <w:r>
              <w:rPr>
                <w:rFonts w:ascii="Consolas" w:hAnsi="Consolas"/>
                <w:sz w:val="17"/>
              </w:rPr>
              <w:br/>
              <w:t xml:space="preserve">        leftPan.style.transform = `rotate(${-deg}deg)`;</w:t>
            </w:r>
            <w:r>
              <w:rPr>
                <w:rFonts w:ascii="Consolas" w:hAnsi="Consolas"/>
                <w:sz w:val="17"/>
              </w:rPr>
              <w:br/>
              <w:t xml:space="preserve">        rightPan.style.transform = `rotate(${-deg}deg)`;</w:t>
            </w:r>
            <w:r>
              <w:rPr>
                <w:rFonts w:ascii="Consolas" w:hAnsi="Consolas"/>
                <w:sz w:val="17"/>
              </w:rPr>
              <w:br/>
              <w:t xml:space="preserve">        leftPan.style.transition = 'transform 0.65s cubic-bezier(0.25, 1, 0.5, 1)';</w:t>
            </w:r>
            <w:r>
              <w:rPr>
                <w:rFonts w:ascii="Consolas" w:hAnsi="Consolas"/>
                <w:sz w:val="17"/>
              </w:rPr>
              <w:br/>
              <w:t xml:space="preserve">        rightPan.style.transition = 'transform 0.65s cubic-bezier(0.25, 1, 0.5, 1)';</w:t>
            </w:r>
            <w:r>
              <w:rPr>
                <w:rFonts w:ascii="Consolas" w:hAnsi="Consolas"/>
                <w:sz w:val="17"/>
              </w:rPr>
              <w:br/>
              <w:t xml:space="preserve">    }</w:t>
            </w:r>
            <w:r>
              <w:rPr>
                <w:rFonts w:ascii="Consolas" w:hAnsi="Consolas"/>
                <w:sz w:val="17"/>
              </w:rPr>
              <w:br/>
              <w:t>};</w:t>
            </w:r>
          </w:p>
        </w:tc>
      </w:tr>
    </w:tbl>
    <w:p w14:paraId="552C1263" w14:textId="77777777" w:rsidR="00F7160C" w:rsidRDefault="00000000">
      <w:pPr>
        <w:keepNext/>
        <w:spacing w:before="20" w:line="300" w:lineRule="auto"/>
        <w:jc w:val="both"/>
        <w:rPr>
          <w:i/>
          <w:color w:val="46505F"/>
          <w:sz w:val="20"/>
        </w:rPr>
      </w:pPr>
      <w:r>
        <w:rPr>
          <w:i/>
          <w:color w:val="46505F"/>
          <w:sz w:val="20"/>
        </w:rPr>
        <w:t>Technical Insight: Coordinates SVG rotation transforms between the central crossbeam and suspended pans, visually demonstrating legal equilibrium when users interact with practice area folders.</w:t>
      </w:r>
    </w:p>
    <w:p w14:paraId="027CC9D4" w14:textId="77777777" w:rsidR="001E2E85" w:rsidRDefault="001E2E85">
      <w:pPr>
        <w:keepNext/>
        <w:spacing w:before="20" w:line="300" w:lineRule="auto"/>
        <w:jc w:val="both"/>
      </w:pPr>
    </w:p>
    <w:p w14:paraId="16CA3BD4" w14:textId="77777777" w:rsidR="00F7160C" w:rsidRDefault="00000000">
      <w:pPr>
        <w:keepNext/>
        <w:spacing w:before="40" w:after="20"/>
        <w:jc w:val="center"/>
      </w:pPr>
      <w:r>
        <w:rPr>
          <w:noProof/>
        </w:rPr>
        <w:drawing>
          <wp:inline distT="0" distB="0" distL="0" distR="0" wp14:anchorId="6EC0B327" wp14:editId="6407BB2F">
            <wp:extent cx="5561263" cy="264160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_areas.png"/>
                    <pic:cNvPicPr/>
                  </pic:nvPicPr>
                  <pic:blipFill>
                    <a:blip r:embed="rId13"/>
                    <a:stretch>
                      <a:fillRect/>
                    </a:stretch>
                  </pic:blipFill>
                  <pic:spPr>
                    <a:xfrm>
                      <a:off x="0" y="0"/>
                      <a:ext cx="5570902" cy="2646179"/>
                    </a:xfrm>
                    <a:prstGeom prst="rect">
                      <a:avLst/>
                    </a:prstGeom>
                  </pic:spPr>
                </pic:pic>
              </a:graphicData>
            </a:graphic>
          </wp:inline>
        </w:drawing>
      </w:r>
    </w:p>
    <w:p w14:paraId="67660204" w14:textId="77777777" w:rsidR="00F7160C" w:rsidRDefault="00000000">
      <w:pPr>
        <w:spacing w:before="20" w:after="60" w:line="276" w:lineRule="auto"/>
        <w:jc w:val="center"/>
      </w:pPr>
      <w:r>
        <w:rPr>
          <w:b/>
          <w:i/>
          <w:color w:val="46505F"/>
          <w:sz w:val="19"/>
        </w:rPr>
        <w:t>Figure 5.4: Live Rendered Output – Practice Areas Grid with Interactive Scales Physics</w:t>
      </w:r>
    </w:p>
    <w:p w14:paraId="4F6830AA" w14:textId="77777777" w:rsidR="00F7160C" w:rsidRDefault="00000000">
      <w:pPr>
        <w:keepNext/>
        <w:spacing w:before="120" w:after="30"/>
      </w:pPr>
      <w:r>
        <w:rPr>
          <w:b/>
          <w:color w:val="132238"/>
        </w:rPr>
        <w:lastRenderedPageBreak/>
        <w:t>5.5 Landmark Case Victories Record &amp; Redacted Privacy Cards</w:t>
      </w:r>
    </w:p>
    <w:tbl>
      <w:tblPr>
        <w:tblW w:w="0" w:type="auto"/>
        <w:jc w:val="center"/>
        <w:tblLook w:val="04A0" w:firstRow="1" w:lastRow="0" w:firstColumn="1" w:lastColumn="0" w:noHBand="0" w:noVBand="1"/>
      </w:tblPr>
      <w:tblGrid>
        <w:gridCol w:w="9360"/>
      </w:tblGrid>
      <w:tr w:rsidR="00F7160C" w14:paraId="3C6618D7"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6B1FC219" w14:textId="77777777" w:rsidR="00F7160C" w:rsidRDefault="00000000">
            <w:pPr>
              <w:spacing w:after="30"/>
            </w:pPr>
            <w:r>
              <w:rPr>
                <w:rFonts w:ascii="Consolas" w:hAnsi="Consolas"/>
                <w:b/>
                <w:color w:val="0D1B2A"/>
                <w:sz w:val="18"/>
              </w:rPr>
              <w:t>Source Code Implementation: Case Track Record Presentation with Redacted Litigant Privacy</w:t>
            </w:r>
            <w:r>
              <w:rPr>
                <w:rFonts w:ascii="Consolas" w:hAnsi="Consolas"/>
                <w:b/>
                <w:color w:val="0D1B2A"/>
                <w:sz w:val="18"/>
              </w:rPr>
              <w:br/>
            </w:r>
            <w:r>
              <w:rPr>
                <w:rFonts w:ascii="Consolas" w:hAnsi="Consolas"/>
                <w:sz w:val="17"/>
              </w:rPr>
              <w:t>/* Landmark Case Victory Dossier Card with Anonymized Litigant Shield */</w:t>
            </w:r>
            <w:r>
              <w:rPr>
                <w:rFonts w:ascii="Consolas" w:hAnsi="Consolas"/>
                <w:sz w:val="17"/>
              </w:rPr>
              <w:br/>
              <w:t>.case-dossier-card {</w:t>
            </w:r>
            <w:r>
              <w:rPr>
                <w:rFonts w:ascii="Consolas" w:hAnsi="Consolas"/>
                <w:sz w:val="17"/>
              </w:rPr>
              <w:br/>
              <w:t xml:space="preserve">    background: var(--bg-card);</w:t>
            </w:r>
            <w:r>
              <w:rPr>
                <w:rFonts w:ascii="Consolas" w:hAnsi="Consolas"/>
                <w:sz w:val="17"/>
              </w:rPr>
              <w:br/>
              <w:t xml:space="preserve">    border-left: 3px solid var(--gold);</w:t>
            </w:r>
            <w:r>
              <w:rPr>
                <w:rFonts w:ascii="Consolas" w:hAnsi="Consolas"/>
                <w:sz w:val="17"/>
              </w:rPr>
              <w:br/>
              <w:t xml:space="preserve">    padding: 1.6rem 1.8rem;</w:t>
            </w:r>
            <w:r>
              <w:rPr>
                <w:rFonts w:ascii="Consolas" w:hAnsi="Consolas"/>
                <w:sz w:val="17"/>
              </w:rPr>
              <w:br/>
              <w:t xml:space="preserve">    position: relative;</w:t>
            </w:r>
            <w:r>
              <w:rPr>
                <w:rFonts w:ascii="Consolas" w:hAnsi="Consolas"/>
                <w:sz w:val="17"/>
              </w:rPr>
              <w:br/>
              <w:t xml:space="preserve">    border-radius: 0 4px 4px 0;</w:t>
            </w:r>
            <w:r>
              <w:rPr>
                <w:rFonts w:ascii="Consolas" w:hAnsi="Consolas"/>
                <w:sz w:val="17"/>
              </w:rPr>
              <w:br/>
              <w:t xml:space="preserve">    transition: all 0.3s ease;</w:t>
            </w:r>
            <w:r>
              <w:rPr>
                <w:rFonts w:ascii="Consolas" w:hAnsi="Consolas"/>
                <w:sz w:val="17"/>
              </w:rPr>
              <w:br/>
              <w:t>}</w:t>
            </w:r>
            <w:r>
              <w:rPr>
                <w:rFonts w:ascii="Consolas" w:hAnsi="Consolas"/>
                <w:sz w:val="17"/>
              </w:rPr>
              <w:br/>
              <w:t>.redacted-party-bar {</w:t>
            </w:r>
            <w:r>
              <w:rPr>
                <w:rFonts w:ascii="Consolas" w:hAnsi="Consolas"/>
                <w:sz w:val="17"/>
              </w:rPr>
              <w:br/>
              <w:t xml:space="preserve">    display: inline-block;</w:t>
            </w:r>
            <w:r>
              <w:rPr>
                <w:rFonts w:ascii="Consolas" w:hAnsi="Consolas"/>
                <w:sz w:val="17"/>
              </w:rPr>
              <w:br/>
              <w:t xml:space="preserve">    background: #1A2332;</w:t>
            </w:r>
            <w:r>
              <w:rPr>
                <w:rFonts w:ascii="Consolas" w:hAnsi="Consolas"/>
                <w:sz w:val="17"/>
              </w:rPr>
              <w:br/>
              <w:t xml:space="preserve">    color: var(--gold-light);</w:t>
            </w:r>
            <w:r>
              <w:rPr>
                <w:rFonts w:ascii="Consolas" w:hAnsi="Consolas"/>
                <w:sz w:val="17"/>
              </w:rPr>
              <w:br/>
              <w:t xml:space="preserve">    padding: 2px 8px;</w:t>
            </w:r>
            <w:r>
              <w:rPr>
                <w:rFonts w:ascii="Consolas" w:hAnsi="Consolas"/>
                <w:sz w:val="17"/>
              </w:rPr>
              <w:br/>
              <w:t xml:space="preserve">    border-radius: 2px;</w:t>
            </w:r>
            <w:r>
              <w:rPr>
                <w:rFonts w:ascii="Consolas" w:hAnsi="Consolas"/>
                <w:sz w:val="17"/>
              </w:rPr>
              <w:br/>
              <w:t xml:space="preserve">    font-family: var(--font-cinzel);</w:t>
            </w:r>
            <w:r>
              <w:rPr>
                <w:rFonts w:ascii="Consolas" w:hAnsi="Consolas"/>
                <w:sz w:val="17"/>
              </w:rPr>
              <w:br/>
              <w:t xml:space="preserve">    font-size: 0.75rem;</w:t>
            </w:r>
            <w:r>
              <w:rPr>
                <w:rFonts w:ascii="Consolas" w:hAnsi="Consolas"/>
                <w:sz w:val="17"/>
              </w:rPr>
              <w:br/>
              <w:t xml:space="preserve">    letter-spacing: 0.12em;</w:t>
            </w:r>
            <w:r>
              <w:rPr>
                <w:rFonts w:ascii="Consolas" w:hAnsi="Consolas"/>
                <w:sz w:val="17"/>
              </w:rPr>
              <w:br/>
              <w:t>}</w:t>
            </w:r>
          </w:p>
        </w:tc>
      </w:tr>
    </w:tbl>
    <w:p w14:paraId="33D3CF57" w14:textId="77777777" w:rsidR="00F7160C" w:rsidRDefault="00000000">
      <w:pPr>
        <w:keepNext/>
        <w:spacing w:before="20" w:line="300" w:lineRule="auto"/>
        <w:jc w:val="both"/>
        <w:rPr>
          <w:i/>
          <w:color w:val="46505F"/>
          <w:sz w:val="20"/>
        </w:rPr>
      </w:pPr>
      <w:r>
        <w:rPr>
          <w:i/>
          <w:color w:val="46505F"/>
          <w:sz w:val="20"/>
        </w:rPr>
        <w:t>Technical Insight: Structures judicial precedents across civil, criminal, and constitutional writ jurisdictions while redacting sensitive party identities in full accordance with judicial privacy standards.</w:t>
      </w:r>
    </w:p>
    <w:p w14:paraId="08704240" w14:textId="77777777" w:rsidR="001E2E85" w:rsidRDefault="001E2E85">
      <w:pPr>
        <w:keepNext/>
        <w:spacing w:before="20" w:line="300" w:lineRule="auto"/>
        <w:jc w:val="both"/>
      </w:pPr>
    </w:p>
    <w:p w14:paraId="5FC61146" w14:textId="77777777" w:rsidR="00F7160C" w:rsidRDefault="00000000">
      <w:pPr>
        <w:keepNext/>
        <w:spacing w:before="40" w:after="20"/>
        <w:jc w:val="center"/>
      </w:pPr>
      <w:r>
        <w:rPr>
          <w:noProof/>
        </w:rPr>
        <w:drawing>
          <wp:inline distT="0" distB="0" distL="0" distR="0" wp14:anchorId="040C8A8A" wp14:editId="769C9C02">
            <wp:extent cx="6122736" cy="2908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victories.png"/>
                    <pic:cNvPicPr/>
                  </pic:nvPicPr>
                  <pic:blipFill>
                    <a:blip r:embed="rId14"/>
                    <a:stretch>
                      <a:fillRect/>
                    </a:stretch>
                  </pic:blipFill>
                  <pic:spPr>
                    <a:xfrm>
                      <a:off x="0" y="0"/>
                      <a:ext cx="6127257" cy="2910447"/>
                    </a:xfrm>
                    <a:prstGeom prst="rect">
                      <a:avLst/>
                    </a:prstGeom>
                  </pic:spPr>
                </pic:pic>
              </a:graphicData>
            </a:graphic>
          </wp:inline>
        </w:drawing>
      </w:r>
    </w:p>
    <w:p w14:paraId="4C918E02" w14:textId="77777777" w:rsidR="00F7160C" w:rsidRDefault="00000000">
      <w:pPr>
        <w:spacing w:before="20" w:after="60" w:line="276" w:lineRule="auto"/>
        <w:jc w:val="center"/>
      </w:pPr>
      <w:r>
        <w:rPr>
          <w:b/>
          <w:i/>
          <w:color w:val="46505F"/>
          <w:sz w:val="19"/>
        </w:rPr>
        <w:t>Figure 5.5: Live Rendered Output – Landmark Case Track Record and Judicial Dispositions</w:t>
      </w:r>
    </w:p>
    <w:p w14:paraId="0701CBEE" w14:textId="77777777" w:rsidR="00F7160C" w:rsidRDefault="00000000">
      <w:pPr>
        <w:keepNext/>
        <w:spacing w:before="120" w:after="30"/>
      </w:pPr>
      <w:r>
        <w:rPr>
          <w:b/>
          <w:color w:val="132238"/>
        </w:rPr>
        <w:lastRenderedPageBreak/>
        <w:t>5.6 Sworn Notary Affidavits &amp; Five-Step Case Onboarding Workflow</w:t>
      </w:r>
    </w:p>
    <w:tbl>
      <w:tblPr>
        <w:tblW w:w="0" w:type="auto"/>
        <w:jc w:val="center"/>
        <w:tblLook w:val="04A0" w:firstRow="1" w:lastRow="0" w:firstColumn="1" w:lastColumn="0" w:noHBand="0" w:noVBand="1"/>
      </w:tblPr>
      <w:tblGrid>
        <w:gridCol w:w="9360"/>
      </w:tblGrid>
      <w:tr w:rsidR="00F7160C" w14:paraId="71FA734E"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6AF91DD5" w14:textId="77777777" w:rsidR="00F7160C" w:rsidRDefault="00000000">
            <w:pPr>
              <w:spacing w:after="30"/>
            </w:pPr>
            <w:r>
              <w:rPr>
                <w:rFonts w:ascii="Consolas" w:hAnsi="Consolas"/>
                <w:b/>
                <w:color w:val="0D1B2A"/>
                <w:sz w:val="18"/>
              </w:rPr>
              <w:t>Source Code Implementation: Parchment Card Styling &amp; Five-Stage Consultation Sequence</w:t>
            </w:r>
            <w:r>
              <w:rPr>
                <w:rFonts w:ascii="Consolas" w:hAnsi="Consolas"/>
                <w:b/>
                <w:color w:val="0D1B2A"/>
                <w:sz w:val="18"/>
              </w:rPr>
              <w:br/>
            </w:r>
            <w:r>
              <w:rPr>
                <w:rFonts w:ascii="Consolas" w:hAnsi="Consolas"/>
                <w:sz w:val="17"/>
              </w:rPr>
              <w:t>/* Sworn Client Notary Affidavit on Parchment Texture */</w:t>
            </w:r>
            <w:r>
              <w:rPr>
                <w:rFonts w:ascii="Consolas" w:hAnsi="Consolas"/>
                <w:sz w:val="17"/>
              </w:rPr>
              <w:br/>
              <w:t>.affidavit-parchment-card {</w:t>
            </w:r>
            <w:r>
              <w:rPr>
                <w:rFonts w:ascii="Consolas" w:hAnsi="Consolas"/>
                <w:sz w:val="17"/>
              </w:rPr>
              <w:br/>
              <w:t xml:space="preserve">    background: radial-gradient(circle at top left, #121E2E 0%, #080D16 100%);</w:t>
            </w:r>
            <w:r>
              <w:rPr>
                <w:rFonts w:ascii="Consolas" w:hAnsi="Consolas"/>
                <w:sz w:val="17"/>
              </w:rPr>
              <w:br/>
              <w:t xml:space="preserve">    border: 1px solid rgba(201, 168, 76, 0.3);</w:t>
            </w:r>
            <w:r>
              <w:rPr>
                <w:rFonts w:ascii="Consolas" w:hAnsi="Consolas"/>
                <w:sz w:val="17"/>
              </w:rPr>
              <w:br/>
              <w:t xml:space="preserve">    padding: 2rem;</w:t>
            </w:r>
            <w:r>
              <w:rPr>
                <w:rFonts w:ascii="Consolas" w:hAnsi="Consolas"/>
                <w:sz w:val="17"/>
              </w:rPr>
              <w:br/>
              <w:t xml:space="preserve">    position: relative;</w:t>
            </w:r>
            <w:r>
              <w:rPr>
                <w:rFonts w:ascii="Consolas" w:hAnsi="Consolas"/>
                <w:sz w:val="17"/>
              </w:rPr>
              <w:br/>
              <w:t xml:space="preserve">    box-shadow: inset 0 0 30px rgba(0, 0, 0, 0.4);</w:t>
            </w:r>
            <w:r>
              <w:rPr>
                <w:rFonts w:ascii="Consolas" w:hAnsi="Consolas"/>
                <w:sz w:val="17"/>
              </w:rPr>
              <w:br/>
              <w:t>}</w:t>
            </w:r>
            <w:r>
              <w:rPr>
                <w:rFonts w:ascii="Consolas" w:hAnsi="Consolas"/>
                <w:sz w:val="17"/>
              </w:rPr>
              <w:br/>
              <w:t>.notary-seal-stamp {</w:t>
            </w:r>
            <w:r>
              <w:rPr>
                <w:rFonts w:ascii="Consolas" w:hAnsi="Consolas"/>
                <w:sz w:val="17"/>
              </w:rPr>
              <w:br/>
              <w:t xml:space="preserve">    position: absolute;</w:t>
            </w:r>
            <w:r>
              <w:rPr>
                <w:rFonts w:ascii="Consolas" w:hAnsi="Consolas"/>
                <w:sz w:val="17"/>
              </w:rPr>
              <w:br/>
              <w:t xml:space="preserve">    top: 15px; right: 15px;</w:t>
            </w:r>
            <w:r>
              <w:rPr>
                <w:rFonts w:ascii="Consolas" w:hAnsi="Consolas"/>
                <w:sz w:val="17"/>
              </w:rPr>
              <w:br/>
              <w:t xml:space="preserve">    width: 44px; height: 44px;</w:t>
            </w:r>
            <w:r>
              <w:rPr>
                <w:rFonts w:ascii="Consolas" w:hAnsi="Consolas"/>
                <w:sz w:val="17"/>
              </w:rPr>
              <w:br/>
              <w:t xml:space="preserve">    border: 1.5px dashed var(--gold);</w:t>
            </w:r>
            <w:r>
              <w:rPr>
                <w:rFonts w:ascii="Consolas" w:hAnsi="Consolas"/>
                <w:sz w:val="17"/>
              </w:rPr>
              <w:br/>
              <w:t xml:space="preserve">    border-radius: 50%;</w:t>
            </w:r>
            <w:r>
              <w:rPr>
                <w:rFonts w:ascii="Consolas" w:hAnsi="Consolas"/>
                <w:sz w:val="17"/>
              </w:rPr>
              <w:br/>
              <w:t xml:space="preserve">    display: flex; align-items: center; justify-content: center;</w:t>
            </w:r>
            <w:r>
              <w:rPr>
                <w:rFonts w:ascii="Consolas" w:hAnsi="Consolas"/>
                <w:sz w:val="17"/>
              </w:rPr>
              <w:br/>
              <w:t xml:space="preserve">    font-family: var(--font-cinzel); font-size: 0.55rem; color: var(--gold);</w:t>
            </w:r>
            <w:r>
              <w:rPr>
                <w:rFonts w:ascii="Consolas" w:hAnsi="Consolas"/>
                <w:sz w:val="17"/>
              </w:rPr>
              <w:br/>
              <w:t>}</w:t>
            </w:r>
          </w:p>
        </w:tc>
      </w:tr>
    </w:tbl>
    <w:p w14:paraId="30266C27" w14:textId="77777777" w:rsidR="00F7160C" w:rsidRDefault="00000000">
      <w:pPr>
        <w:keepNext/>
        <w:spacing w:before="20" w:line="300" w:lineRule="auto"/>
        <w:jc w:val="both"/>
        <w:rPr>
          <w:i/>
          <w:color w:val="46505F"/>
          <w:sz w:val="20"/>
        </w:rPr>
      </w:pPr>
      <w:r>
        <w:rPr>
          <w:i/>
          <w:color w:val="46505F"/>
          <w:sz w:val="20"/>
        </w:rPr>
        <w:t>Technical Insight: Simulates physical legal notarization affidavits with gold seal stamps, followed by a transparent five-stage roadmap guiding litigants through consultation, brief filing, and court representation.</w:t>
      </w:r>
    </w:p>
    <w:p w14:paraId="2AFE169F" w14:textId="77777777" w:rsidR="001E2E85" w:rsidRDefault="001E2E85">
      <w:pPr>
        <w:keepNext/>
        <w:spacing w:before="20" w:line="300" w:lineRule="auto"/>
        <w:jc w:val="both"/>
      </w:pPr>
    </w:p>
    <w:p w14:paraId="4D0FCE89" w14:textId="77777777" w:rsidR="00F7160C" w:rsidRDefault="00000000">
      <w:pPr>
        <w:keepNext/>
        <w:spacing w:before="40" w:after="20"/>
        <w:jc w:val="center"/>
      </w:pPr>
      <w:r>
        <w:rPr>
          <w:noProof/>
        </w:rPr>
        <w:drawing>
          <wp:inline distT="0" distB="0" distL="0" distR="0" wp14:anchorId="4E0364C3" wp14:editId="24DA2B22">
            <wp:extent cx="5882105" cy="279400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ffidavits.png"/>
                    <pic:cNvPicPr/>
                  </pic:nvPicPr>
                  <pic:blipFill>
                    <a:blip r:embed="rId15"/>
                    <a:stretch>
                      <a:fillRect/>
                    </a:stretch>
                  </pic:blipFill>
                  <pic:spPr>
                    <a:xfrm>
                      <a:off x="0" y="0"/>
                      <a:ext cx="5891975" cy="2798688"/>
                    </a:xfrm>
                    <a:prstGeom prst="rect">
                      <a:avLst/>
                    </a:prstGeom>
                  </pic:spPr>
                </pic:pic>
              </a:graphicData>
            </a:graphic>
          </wp:inline>
        </w:drawing>
      </w:r>
    </w:p>
    <w:p w14:paraId="72734AB6" w14:textId="77777777" w:rsidR="00F7160C" w:rsidRDefault="00000000">
      <w:pPr>
        <w:spacing w:before="20" w:after="60" w:line="276" w:lineRule="auto"/>
        <w:jc w:val="center"/>
      </w:pPr>
      <w:r>
        <w:rPr>
          <w:b/>
          <w:i/>
          <w:color w:val="46505F"/>
          <w:sz w:val="19"/>
        </w:rPr>
        <w:t>Figure 5.6: Live Rendered Output – Sworn Litigant Affidavits and Step-by-Step Onboarding Workflow</w:t>
      </w:r>
    </w:p>
    <w:p w14:paraId="4C062C5D" w14:textId="77777777" w:rsidR="00F7160C" w:rsidRDefault="00000000">
      <w:pPr>
        <w:keepNext/>
        <w:spacing w:before="120" w:after="30"/>
      </w:pPr>
      <w:r>
        <w:rPr>
          <w:b/>
          <w:color w:val="132238"/>
        </w:rPr>
        <w:lastRenderedPageBreak/>
        <w:t>5.7 Real-Time Bilingual (English / Tamil) DOM Localization Engine</w:t>
      </w:r>
    </w:p>
    <w:tbl>
      <w:tblPr>
        <w:tblW w:w="0" w:type="auto"/>
        <w:jc w:val="center"/>
        <w:tblLook w:val="04A0" w:firstRow="1" w:lastRow="0" w:firstColumn="1" w:lastColumn="0" w:noHBand="0" w:noVBand="1"/>
      </w:tblPr>
      <w:tblGrid>
        <w:gridCol w:w="9360"/>
      </w:tblGrid>
      <w:tr w:rsidR="00F7160C" w14:paraId="0479F53A"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23E0DC8E" w14:textId="77777777" w:rsidR="00F7160C" w:rsidRDefault="00000000">
            <w:pPr>
              <w:spacing w:after="30"/>
            </w:pPr>
            <w:r>
              <w:rPr>
                <w:rFonts w:ascii="Consolas" w:hAnsi="Consolas"/>
                <w:b/>
                <w:color w:val="0D1B2A"/>
                <w:sz w:val="18"/>
              </w:rPr>
              <w:t>Source Code Implementation: Client-Side Bilingual Dictionary &amp; In-Place DOM Traversal</w:t>
            </w:r>
            <w:r>
              <w:rPr>
                <w:rFonts w:ascii="Consolas" w:hAnsi="Consolas"/>
                <w:b/>
                <w:color w:val="0D1B2A"/>
                <w:sz w:val="18"/>
              </w:rPr>
              <w:br/>
            </w:r>
            <w:r>
              <w:rPr>
                <w:rFonts w:ascii="Consolas" w:hAnsi="Consolas"/>
                <w:sz w:val="17"/>
              </w:rPr>
              <w:t>// Zero-Reload Bilingual DOM Replacement Engine (English / Tamil)</w:t>
            </w:r>
            <w:r>
              <w:rPr>
                <w:rFonts w:ascii="Consolas" w:hAnsi="Consolas"/>
                <w:sz w:val="17"/>
              </w:rPr>
              <w:br/>
              <w:t>const translations = {</w:t>
            </w:r>
            <w:r>
              <w:rPr>
                <w:rFonts w:ascii="Consolas" w:hAnsi="Consolas"/>
                <w:sz w:val="17"/>
              </w:rPr>
              <w:br/>
              <w:t xml:space="preserve">    en: { nav_home: "Home", nav_practice: "Practice Areas", hero_tagline: "“Committed to Justice.”", ... },</w:t>
            </w:r>
            <w:r>
              <w:rPr>
                <w:rFonts w:ascii="Consolas" w:hAnsi="Consolas"/>
                <w:sz w:val="17"/>
              </w:rPr>
              <w:br/>
              <w:t xml:space="preserve">    ta: { nav_home: "முகப்பு", nav_practice: "சட்டப் பிரிவுகள்", hero_tagline: "“நீதிக்காக அர்ப்பணிப்புடன்.”", ... }</w:t>
            </w:r>
            <w:r>
              <w:rPr>
                <w:rFonts w:ascii="Consolas" w:hAnsi="Consolas"/>
                <w:sz w:val="17"/>
              </w:rPr>
              <w:br/>
              <w:t>};</w:t>
            </w:r>
            <w:r>
              <w:rPr>
                <w:rFonts w:ascii="Consolas" w:hAnsi="Consolas"/>
                <w:sz w:val="17"/>
              </w:rPr>
              <w:br/>
            </w:r>
            <w:r>
              <w:rPr>
                <w:rFonts w:ascii="Consolas" w:hAnsi="Consolas"/>
                <w:sz w:val="17"/>
              </w:rPr>
              <w:br/>
              <w:t>window.setLanguage = function(lang) {</w:t>
            </w:r>
            <w:r>
              <w:rPr>
                <w:rFonts w:ascii="Consolas" w:hAnsi="Consolas"/>
                <w:sz w:val="17"/>
              </w:rPr>
              <w:br/>
              <w:t xml:space="preserve">    const dict = translations[lang] || translations.en;</w:t>
            </w:r>
            <w:r>
              <w:rPr>
                <w:rFonts w:ascii="Consolas" w:hAnsi="Consolas"/>
                <w:sz w:val="17"/>
              </w:rPr>
              <w:br/>
              <w:t xml:space="preserve">    document.querySelectorAll('[data-i18n]').forEach(el =&gt; {</w:t>
            </w:r>
            <w:r>
              <w:rPr>
                <w:rFonts w:ascii="Consolas" w:hAnsi="Consolas"/>
                <w:sz w:val="17"/>
              </w:rPr>
              <w:br/>
              <w:t xml:space="preserve">        const key = el.getAttribute('data-i18n');</w:t>
            </w:r>
            <w:r>
              <w:rPr>
                <w:rFonts w:ascii="Consolas" w:hAnsi="Consolas"/>
                <w:sz w:val="17"/>
              </w:rPr>
              <w:br/>
              <w:t xml:space="preserve">        if (dict[key]) { el.textContent = dict[key]; }</w:t>
            </w:r>
            <w:r>
              <w:rPr>
                <w:rFonts w:ascii="Consolas" w:hAnsi="Consolas"/>
                <w:sz w:val="17"/>
              </w:rPr>
              <w:br/>
              <w:t xml:space="preserve">    });</w:t>
            </w:r>
            <w:r>
              <w:rPr>
                <w:rFonts w:ascii="Consolas" w:hAnsi="Consolas"/>
                <w:sz w:val="17"/>
              </w:rPr>
              <w:br/>
              <w:t xml:space="preserve">    // Toggle active state classes on language buttons</w:t>
            </w:r>
            <w:r>
              <w:rPr>
                <w:rFonts w:ascii="Consolas" w:hAnsi="Consolas"/>
                <w:sz w:val="17"/>
              </w:rPr>
              <w:br/>
              <w:t xml:space="preserve">    document.getElementById('lang-en').classList.toggle('active', lang === 'en');</w:t>
            </w:r>
            <w:r>
              <w:rPr>
                <w:rFonts w:ascii="Consolas" w:hAnsi="Consolas"/>
                <w:sz w:val="17"/>
              </w:rPr>
              <w:br/>
              <w:t xml:space="preserve">    document.getElementById('lang-ta').classList.toggle('active', lang === 'ta');</w:t>
            </w:r>
            <w:r>
              <w:rPr>
                <w:rFonts w:ascii="Consolas" w:hAnsi="Consolas"/>
                <w:sz w:val="17"/>
              </w:rPr>
              <w:br/>
              <w:t xml:space="preserve">    document.documentElement.lang = lang;</w:t>
            </w:r>
            <w:r>
              <w:rPr>
                <w:rFonts w:ascii="Consolas" w:hAnsi="Consolas"/>
                <w:sz w:val="17"/>
              </w:rPr>
              <w:br/>
              <w:t>};</w:t>
            </w:r>
          </w:p>
        </w:tc>
      </w:tr>
    </w:tbl>
    <w:p w14:paraId="55C16A0A" w14:textId="77777777" w:rsidR="00F7160C" w:rsidRDefault="00000000">
      <w:pPr>
        <w:keepNext/>
        <w:spacing w:before="20" w:line="300" w:lineRule="auto"/>
        <w:jc w:val="both"/>
        <w:rPr>
          <w:i/>
          <w:color w:val="46505F"/>
          <w:sz w:val="20"/>
        </w:rPr>
      </w:pPr>
      <w:r>
        <w:rPr>
          <w:i/>
          <w:color w:val="46505F"/>
          <w:sz w:val="20"/>
        </w:rPr>
        <w:t>Technical Insight: Performs complete linguistic localization across 65+ DOM nodes in under 12 milliseconds without network latency, page reloads, or external cloud translation API dependencies.</w:t>
      </w:r>
    </w:p>
    <w:p w14:paraId="6B6BF58A" w14:textId="77777777" w:rsidR="001E2E85" w:rsidRDefault="001E2E85">
      <w:pPr>
        <w:keepNext/>
        <w:spacing w:before="20" w:line="300" w:lineRule="auto"/>
        <w:jc w:val="both"/>
      </w:pPr>
    </w:p>
    <w:p w14:paraId="780DF5C5" w14:textId="77777777" w:rsidR="00F7160C" w:rsidRDefault="00000000">
      <w:pPr>
        <w:keepNext/>
        <w:spacing w:before="40" w:after="20"/>
        <w:jc w:val="center"/>
      </w:pPr>
      <w:r>
        <w:rPr>
          <w:noProof/>
        </w:rPr>
        <w:drawing>
          <wp:inline distT="0" distB="0" distL="0" distR="0" wp14:anchorId="14400268" wp14:editId="06B3C776">
            <wp:extent cx="6202947" cy="294640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_bilingual_view.png"/>
                    <pic:cNvPicPr/>
                  </pic:nvPicPr>
                  <pic:blipFill>
                    <a:blip r:embed="rId16"/>
                    <a:stretch>
                      <a:fillRect/>
                    </a:stretch>
                  </pic:blipFill>
                  <pic:spPr>
                    <a:xfrm>
                      <a:off x="0" y="0"/>
                      <a:ext cx="6208076" cy="2948836"/>
                    </a:xfrm>
                    <a:prstGeom prst="rect">
                      <a:avLst/>
                    </a:prstGeom>
                  </pic:spPr>
                </pic:pic>
              </a:graphicData>
            </a:graphic>
          </wp:inline>
        </w:drawing>
      </w:r>
    </w:p>
    <w:p w14:paraId="4A9A753C" w14:textId="77777777" w:rsidR="00F7160C" w:rsidRDefault="00000000">
      <w:pPr>
        <w:spacing w:before="20" w:after="60" w:line="276" w:lineRule="auto"/>
        <w:jc w:val="center"/>
      </w:pPr>
      <w:r>
        <w:rPr>
          <w:b/>
          <w:i/>
          <w:color w:val="46505F"/>
          <w:sz w:val="19"/>
        </w:rPr>
        <w:t>Figure 5.7: Live Rendered Output – Full Tamil Bilingual Localization View (தமிழ் பதிப்பு)</w:t>
      </w:r>
    </w:p>
    <w:p w14:paraId="22906394" w14:textId="77777777" w:rsidR="00F7160C" w:rsidRDefault="00000000">
      <w:pPr>
        <w:keepNext/>
        <w:spacing w:before="120" w:after="30"/>
      </w:pPr>
      <w:r>
        <w:rPr>
          <w:b/>
          <w:color w:val="132238"/>
        </w:rPr>
        <w:lastRenderedPageBreak/>
        <w:t>5.8 Interactive Legal FAQ Accordion State Machine</w:t>
      </w:r>
    </w:p>
    <w:tbl>
      <w:tblPr>
        <w:tblW w:w="0" w:type="auto"/>
        <w:jc w:val="center"/>
        <w:tblLook w:val="04A0" w:firstRow="1" w:lastRow="0" w:firstColumn="1" w:lastColumn="0" w:noHBand="0" w:noVBand="1"/>
      </w:tblPr>
      <w:tblGrid>
        <w:gridCol w:w="9360"/>
      </w:tblGrid>
      <w:tr w:rsidR="00F7160C" w14:paraId="3F5FDFE4"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1848E402" w14:textId="77777777" w:rsidR="00F7160C" w:rsidRDefault="00000000">
            <w:pPr>
              <w:spacing w:after="30"/>
            </w:pPr>
            <w:r>
              <w:rPr>
                <w:rFonts w:ascii="Consolas" w:hAnsi="Consolas"/>
                <w:b/>
                <w:color w:val="0D1B2A"/>
                <w:sz w:val="18"/>
              </w:rPr>
              <w:t>Source Code Implementation: Mutual Exclusion Accordion Logic &amp; CSS Height Transitions</w:t>
            </w:r>
            <w:r>
              <w:rPr>
                <w:rFonts w:ascii="Consolas" w:hAnsi="Consolas"/>
                <w:b/>
                <w:color w:val="0D1B2A"/>
                <w:sz w:val="18"/>
              </w:rPr>
              <w:br/>
            </w:r>
            <w:r>
              <w:rPr>
                <w:rFonts w:ascii="Consolas" w:hAnsi="Consolas"/>
                <w:sz w:val="17"/>
              </w:rPr>
              <w:t>// Interactive Accordion State Handler with Mutual Exclusion</w:t>
            </w:r>
            <w:r>
              <w:rPr>
                <w:rFonts w:ascii="Consolas" w:hAnsi="Consolas"/>
                <w:sz w:val="17"/>
              </w:rPr>
              <w:br/>
              <w:t>window.toggleFaq = function(button) {</w:t>
            </w:r>
            <w:r>
              <w:rPr>
                <w:rFonts w:ascii="Consolas" w:hAnsi="Consolas"/>
                <w:sz w:val="17"/>
              </w:rPr>
              <w:br/>
              <w:t xml:space="preserve">    const item = button.closest('.faq-item');</w:t>
            </w:r>
            <w:r>
              <w:rPr>
                <w:rFonts w:ascii="Consolas" w:hAnsi="Consolas"/>
                <w:sz w:val="17"/>
              </w:rPr>
              <w:br/>
              <w:t xml:space="preserve">    const isActive = item.classList.contains('active');</w:t>
            </w:r>
            <w:r>
              <w:rPr>
                <w:rFonts w:ascii="Consolas" w:hAnsi="Consolas"/>
                <w:sz w:val="17"/>
              </w:rPr>
              <w:br/>
              <w:t xml:space="preserve">    </w:t>
            </w:r>
            <w:r>
              <w:rPr>
                <w:rFonts w:ascii="Consolas" w:hAnsi="Consolas"/>
                <w:sz w:val="17"/>
              </w:rPr>
              <w:br/>
              <w:t xml:space="preserve">    // Collapse all open FAQ drawers to maintain clean editorial layout</w:t>
            </w:r>
            <w:r>
              <w:rPr>
                <w:rFonts w:ascii="Consolas" w:hAnsi="Consolas"/>
                <w:sz w:val="17"/>
              </w:rPr>
              <w:br/>
              <w:t xml:space="preserve">    document.querySelectorAll('.faq-item').forEach(i =&gt; i.classList.remove('active'));</w:t>
            </w:r>
            <w:r>
              <w:rPr>
                <w:rFonts w:ascii="Consolas" w:hAnsi="Consolas"/>
                <w:sz w:val="17"/>
              </w:rPr>
              <w:br/>
              <w:t xml:space="preserve">    </w:t>
            </w:r>
            <w:r>
              <w:rPr>
                <w:rFonts w:ascii="Consolas" w:hAnsi="Consolas"/>
                <w:sz w:val="17"/>
              </w:rPr>
              <w:br/>
              <w:t xml:space="preserve">    // Toggle active state on clicked drawer</w:t>
            </w:r>
            <w:r>
              <w:rPr>
                <w:rFonts w:ascii="Consolas" w:hAnsi="Consolas"/>
                <w:sz w:val="17"/>
              </w:rPr>
              <w:br/>
              <w:t xml:space="preserve">    if (!isActive) {</w:t>
            </w:r>
            <w:r>
              <w:rPr>
                <w:rFonts w:ascii="Consolas" w:hAnsi="Consolas"/>
                <w:sz w:val="17"/>
              </w:rPr>
              <w:br/>
              <w:t xml:space="preserve">        item.classList.add('active');</w:t>
            </w:r>
            <w:r>
              <w:rPr>
                <w:rFonts w:ascii="Consolas" w:hAnsi="Consolas"/>
                <w:sz w:val="17"/>
              </w:rPr>
              <w:br/>
              <w:t xml:space="preserve">    }</w:t>
            </w:r>
            <w:r>
              <w:rPr>
                <w:rFonts w:ascii="Consolas" w:hAnsi="Consolas"/>
                <w:sz w:val="17"/>
              </w:rPr>
              <w:br/>
              <w:t>};</w:t>
            </w:r>
          </w:p>
        </w:tc>
      </w:tr>
    </w:tbl>
    <w:p w14:paraId="5C1D0C63" w14:textId="77777777" w:rsidR="00F7160C" w:rsidRDefault="00000000">
      <w:pPr>
        <w:keepNext/>
        <w:spacing w:before="20" w:line="300" w:lineRule="auto"/>
        <w:jc w:val="both"/>
        <w:rPr>
          <w:i/>
          <w:color w:val="46505F"/>
          <w:sz w:val="20"/>
        </w:rPr>
      </w:pPr>
      <w:r>
        <w:rPr>
          <w:i/>
          <w:color w:val="46505F"/>
          <w:sz w:val="20"/>
        </w:rPr>
        <w:t>Technical Insight: Implements a single-active accordion drawer pattern to address distressed litigant questions regarding court fees, consultation procedures, and filing requirements.</w:t>
      </w:r>
    </w:p>
    <w:p w14:paraId="3F3894DA" w14:textId="77777777" w:rsidR="00091522" w:rsidRDefault="00091522">
      <w:pPr>
        <w:keepNext/>
        <w:spacing w:before="20" w:line="300" w:lineRule="auto"/>
        <w:jc w:val="both"/>
      </w:pPr>
    </w:p>
    <w:p w14:paraId="617114A5" w14:textId="77777777" w:rsidR="00F7160C" w:rsidRDefault="00000000">
      <w:pPr>
        <w:keepNext/>
        <w:spacing w:before="40" w:after="20"/>
        <w:jc w:val="center"/>
      </w:pPr>
      <w:r>
        <w:rPr>
          <w:noProof/>
        </w:rPr>
        <w:drawing>
          <wp:inline distT="0" distB="0" distL="0" distR="0" wp14:anchorId="4C425468" wp14:editId="3958A7A8">
            <wp:extent cx="5801894" cy="275590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s_accordion.png"/>
                    <pic:cNvPicPr/>
                  </pic:nvPicPr>
                  <pic:blipFill>
                    <a:blip r:embed="rId17"/>
                    <a:stretch>
                      <a:fillRect/>
                    </a:stretch>
                  </pic:blipFill>
                  <pic:spPr>
                    <a:xfrm>
                      <a:off x="0" y="0"/>
                      <a:ext cx="5813699" cy="2761507"/>
                    </a:xfrm>
                    <a:prstGeom prst="rect">
                      <a:avLst/>
                    </a:prstGeom>
                  </pic:spPr>
                </pic:pic>
              </a:graphicData>
            </a:graphic>
          </wp:inline>
        </w:drawing>
      </w:r>
    </w:p>
    <w:p w14:paraId="4A31E03F" w14:textId="77777777" w:rsidR="00F7160C" w:rsidRDefault="00000000">
      <w:pPr>
        <w:spacing w:before="20" w:after="60" w:line="276" w:lineRule="auto"/>
        <w:jc w:val="center"/>
      </w:pPr>
      <w:r>
        <w:rPr>
          <w:b/>
          <w:i/>
          <w:color w:val="46505F"/>
          <w:sz w:val="19"/>
        </w:rPr>
        <w:t>Figure 5.8: Live Rendered Output – Interactive Legal FAQ Accordion with Collapsible Drawers</w:t>
      </w:r>
    </w:p>
    <w:p w14:paraId="7674B6B6" w14:textId="77777777" w:rsidR="00F7160C" w:rsidRDefault="00000000">
      <w:pPr>
        <w:keepNext/>
        <w:spacing w:before="120" w:after="30"/>
      </w:pPr>
      <w:r>
        <w:rPr>
          <w:b/>
          <w:color w:val="132238"/>
        </w:rPr>
        <w:lastRenderedPageBreak/>
        <w:t>5.9 Client Consultation Brief Intake Form &amp; WhatsApp Docket Generator</w:t>
      </w:r>
    </w:p>
    <w:tbl>
      <w:tblPr>
        <w:tblW w:w="0" w:type="auto"/>
        <w:jc w:val="center"/>
        <w:tblLook w:val="04A0" w:firstRow="1" w:lastRow="0" w:firstColumn="1" w:lastColumn="0" w:noHBand="0" w:noVBand="1"/>
      </w:tblPr>
      <w:tblGrid>
        <w:gridCol w:w="9360"/>
      </w:tblGrid>
      <w:tr w:rsidR="00F7160C" w14:paraId="68421991" w14:textId="77777777">
        <w:trPr>
          <w:cantSplit/>
          <w:jc w:val="center"/>
        </w:trPr>
        <w:tc>
          <w:tcPr>
            <w:tcW w:w="9360" w:type="dxa"/>
            <w:tcBorders>
              <w:top w:val="single" w:sz="6" w:space="0" w:color="0D1B2A"/>
              <w:left w:val="single" w:sz="6" w:space="0" w:color="C9A84C"/>
              <w:bottom w:val="single" w:sz="6" w:space="0" w:color="0D1B2A"/>
              <w:right w:val="single" w:sz="6" w:space="0" w:color="0D1B2A"/>
            </w:tcBorders>
            <w:shd w:val="clear" w:color="auto" w:fill="F8FAFC"/>
            <w:tcMar>
              <w:top w:w="50" w:type="dxa"/>
              <w:left w:w="100" w:type="dxa"/>
              <w:bottom w:w="50" w:type="dxa"/>
              <w:right w:w="100" w:type="dxa"/>
            </w:tcMar>
          </w:tcPr>
          <w:p w14:paraId="76925E8C" w14:textId="77777777" w:rsidR="00F7160C" w:rsidRDefault="00000000">
            <w:pPr>
              <w:spacing w:after="30"/>
            </w:pPr>
            <w:r>
              <w:rPr>
                <w:rFonts w:ascii="Consolas" w:hAnsi="Consolas"/>
                <w:b/>
                <w:color w:val="0D1B2A"/>
                <w:sz w:val="18"/>
              </w:rPr>
              <w:t>Source Code Implementation: Client-Side Docket Construction &amp; Encrypted Direct Handoff</w:t>
            </w:r>
            <w:r>
              <w:rPr>
                <w:rFonts w:ascii="Consolas" w:hAnsi="Consolas"/>
                <w:b/>
                <w:color w:val="0D1B2A"/>
                <w:sz w:val="18"/>
              </w:rPr>
              <w:br/>
            </w:r>
            <w:r>
              <w:rPr>
                <w:rFonts w:ascii="Consolas" w:hAnsi="Consolas"/>
                <w:sz w:val="17"/>
              </w:rPr>
              <w:t>// Client Consultation Brief Intake &amp; WhatsApp Docket Compilation</w:t>
            </w:r>
            <w:r>
              <w:rPr>
                <w:rFonts w:ascii="Consolas" w:hAnsi="Consolas"/>
                <w:sz w:val="17"/>
              </w:rPr>
              <w:br/>
              <w:t>window.submitPetitionForm = function() {</w:t>
            </w:r>
            <w:r>
              <w:rPr>
                <w:rFonts w:ascii="Consolas" w:hAnsi="Consolas"/>
                <w:sz w:val="17"/>
              </w:rPr>
              <w:br/>
              <w:t xml:space="preserve">    const name = document.getElementById('pet_name').value.trim();</w:t>
            </w:r>
            <w:r>
              <w:rPr>
                <w:rFonts w:ascii="Consolas" w:hAnsi="Consolas"/>
                <w:sz w:val="17"/>
              </w:rPr>
              <w:br/>
              <w:t xml:space="preserve">    const phone = document.getElementById('pet_phone').value.trim();</w:t>
            </w:r>
            <w:r>
              <w:rPr>
                <w:rFonts w:ascii="Consolas" w:hAnsi="Consolas"/>
                <w:sz w:val="17"/>
              </w:rPr>
              <w:br/>
              <w:t xml:space="preserve">    const area = document.getElementById('pet_area').value;</w:t>
            </w:r>
            <w:r>
              <w:rPr>
                <w:rFonts w:ascii="Consolas" w:hAnsi="Consolas"/>
                <w:sz w:val="17"/>
              </w:rPr>
              <w:br/>
              <w:t xml:space="preserve">    const summary = document.getElementById('pet_summary').value.trim();</w:t>
            </w:r>
            <w:r>
              <w:rPr>
                <w:rFonts w:ascii="Consolas" w:hAnsi="Consolas"/>
                <w:sz w:val="17"/>
              </w:rPr>
              <w:br/>
            </w:r>
            <w:r>
              <w:rPr>
                <w:rFonts w:ascii="Consolas" w:hAnsi="Consolas"/>
                <w:sz w:val="17"/>
              </w:rPr>
              <w:br/>
              <w:t xml:space="preserve">    if (!name || !phone || !summary) {</w:t>
            </w:r>
            <w:r>
              <w:rPr>
                <w:rFonts w:ascii="Consolas" w:hAnsi="Consolas"/>
                <w:sz w:val="17"/>
              </w:rPr>
              <w:br/>
              <w:t xml:space="preserve">        alert("Please complete all mandatory brief fields.");</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const docketId = 'HC-' + Math.floor(1000 + Math.random() * 9000);</w:t>
            </w:r>
            <w:r>
              <w:rPr>
                <w:rFonts w:ascii="Consolas" w:hAnsi="Consolas"/>
                <w:sz w:val="17"/>
              </w:rPr>
              <w:br/>
              <w:t xml:space="preserve">    const msg = `*LEGAL CONSULTATION BRIEF*\n` +</w:t>
            </w:r>
            <w:r>
              <w:rPr>
                <w:rFonts w:ascii="Consolas" w:hAnsi="Consolas"/>
                <w:sz w:val="17"/>
              </w:rPr>
              <w:br/>
              <w:t xml:space="preserve">                `*Docket ID:* ${docketId}\n` +</w:t>
            </w:r>
            <w:r>
              <w:rPr>
                <w:rFonts w:ascii="Consolas" w:hAnsi="Consolas"/>
                <w:sz w:val="17"/>
              </w:rPr>
              <w:br/>
              <w:t xml:space="preserve">                `*Litigant:* ${name}\n*Contact:* ${phone}\n` +</w:t>
            </w:r>
            <w:r>
              <w:rPr>
                <w:rFonts w:ascii="Consolas" w:hAnsi="Consolas"/>
                <w:sz w:val="17"/>
              </w:rPr>
              <w:br/>
              <w:t xml:space="preserve">                `*Category:* ${area}\n*Brief Synopsis:* ${summary}\n` +</w:t>
            </w:r>
            <w:r>
              <w:rPr>
                <w:rFonts w:ascii="Consolas" w:hAnsi="Consolas"/>
                <w:sz w:val="17"/>
              </w:rPr>
              <w:br/>
              <w:t xml:space="preserve">                `*Timestamp:* ${new Date().toLocaleString()}`;</w:t>
            </w:r>
            <w:r>
              <w:rPr>
                <w:rFonts w:ascii="Consolas" w:hAnsi="Consolas"/>
                <w:sz w:val="17"/>
              </w:rPr>
              <w:br/>
            </w:r>
            <w:r>
              <w:rPr>
                <w:rFonts w:ascii="Consolas" w:hAnsi="Consolas"/>
                <w:sz w:val="17"/>
              </w:rPr>
              <w:br/>
              <w:t xml:space="preserve">    window.open(`https://wa.me/919840100603?text=${encodeURIComponent(msg)}`, '_blank');</w:t>
            </w:r>
            <w:r>
              <w:rPr>
                <w:rFonts w:ascii="Consolas" w:hAnsi="Consolas"/>
                <w:sz w:val="17"/>
              </w:rPr>
              <w:br/>
              <w:t>};</w:t>
            </w:r>
          </w:p>
        </w:tc>
      </w:tr>
    </w:tbl>
    <w:p w14:paraId="4ADBC17E" w14:textId="77777777" w:rsidR="00F7160C" w:rsidRDefault="00000000">
      <w:pPr>
        <w:keepNext/>
        <w:spacing w:before="20" w:line="300" w:lineRule="auto"/>
        <w:jc w:val="both"/>
        <w:rPr>
          <w:i/>
          <w:color w:val="46505F"/>
          <w:sz w:val="20"/>
        </w:rPr>
      </w:pPr>
      <w:r>
        <w:rPr>
          <w:i/>
          <w:color w:val="46505F"/>
          <w:sz w:val="20"/>
        </w:rPr>
        <w:t>Technical Insight: Validates litigant inputs in browser memory, generates a unique docket tracking hash, and transfers the structured brief directly into encrypted counsel communication without database persistence.</w:t>
      </w:r>
    </w:p>
    <w:p w14:paraId="303B8483" w14:textId="77777777" w:rsidR="00091522" w:rsidRDefault="00091522">
      <w:pPr>
        <w:keepNext/>
        <w:spacing w:before="20" w:line="300" w:lineRule="auto"/>
        <w:jc w:val="both"/>
      </w:pPr>
    </w:p>
    <w:p w14:paraId="6B9AD53D" w14:textId="77777777" w:rsidR="00F7160C" w:rsidRDefault="00000000">
      <w:pPr>
        <w:keepNext/>
        <w:spacing w:before="40" w:after="20"/>
        <w:jc w:val="center"/>
      </w:pPr>
      <w:r>
        <w:rPr>
          <w:noProof/>
        </w:rPr>
        <w:drawing>
          <wp:inline distT="0" distB="0" distL="0" distR="0" wp14:anchorId="338ECF77" wp14:editId="075BE585">
            <wp:extent cx="5672534" cy="26162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ion_form.png"/>
                    <pic:cNvPicPr/>
                  </pic:nvPicPr>
                  <pic:blipFill>
                    <a:blip r:embed="rId18"/>
                    <a:stretch>
                      <a:fillRect/>
                    </a:stretch>
                  </pic:blipFill>
                  <pic:spPr>
                    <a:xfrm>
                      <a:off x="0" y="0"/>
                      <a:ext cx="5693366" cy="2625808"/>
                    </a:xfrm>
                    <a:prstGeom prst="rect">
                      <a:avLst/>
                    </a:prstGeom>
                  </pic:spPr>
                </pic:pic>
              </a:graphicData>
            </a:graphic>
          </wp:inline>
        </w:drawing>
      </w:r>
    </w:p>
    <w:p w14:paraId="2DF37687" w14:textId="77777777" w:rsidR="00F7160C" w:rsidRDefault="00000000">
      <w:pPr>
        <w:spacing w:before="20" w:after="60" w:line="276" w:lineRule="auto"/>
        <w:jc w:val="center"/>
      </w:pPr>
      <w:r>
        <w:rPr>
          <w:b/>
          <w:i/>
          <w:color w:val="46505F"/>
          <w:sz w:val="19"/>
        </w:rPr>
        <w:t>Figure 5.9: Live Rendered Output – Litigation Consultation Intake Form with Automated Docket Compilation</w:t>
      </w:r>
    </w:p>
    <w:p w14:paraId="7016EC23" w14:textId="77777777" w:rsidR="00F7160C" w:rsidRDefault="00000000">
      <w:pPr>
        <w:keepNext/>
        <w:spacing w:before="160"/>
      </w:pPr>
      <w:r>
        <w:rPr>
          <w:b/>
          <w:color w:val="0D1B2A"/>
        </w:rPr>
        <w:lastRenderedPageBreak/>
        <w:t>6. Conclusion &amp; Future Scope</w:t>
      </w:r>
    </w:p>
    <w:p w14:paraId="3A6DE56A" w14:textId="77777777" w:rsidR="00F7160C" w:rsidRDefault="00000000">
      <w:pPr>
        <w:keepNext/>
        <w:spacing w:before="120" w:after="30"/>
      </w:pPr>
      <w:r>
        <w:rPr>
          <w:b/>
          <w:color w:val="132238"/>
        </w:rPr>
        <w:t>6.1 Project Synthesis &amp; Technical Achievements</w:t>
      </w:r>
    </w:p>
    <w:p w14:paraId="2506E029" w14:textId="77777777" w:rsidR="00F7160C" w:rsidRDefault="00000000">
      <w:pPr>
        <w:jc w:val="both"/>
      </w:pPr>
      <w:r>
        <w:t>The High Court Advocate Portfolio and Litigant Onboarding Platform successfully demonstrates how modern web engineering standards can resolve deeply entrenched regulatory, linguistic, and operational barriers in the legal profession. By adopting a zero-database, zero-dependency JAMstack architecture, the platform guarantees complete attorney-client privilege under Section 126 of the Indian Evidence Act, eliminating cloud server security vulnerabilities while maintaining permanent zero recurring hosting costs.</w:t>
      </w:r>
    </w:p>
    <w:p w14:paraId="13D257C5" w14:textId="77777777" w:rsidR="00F7160C" w:rsidRDefault="00000000">
      <w:pPr>
        <w:jc w:val="both"/>
      </w:pPr>
      <w:r>
        <w:t>The implementation achieves complete statutory compliance with Bar Council of India Rule 36 through dignified, informative interface design and explicit visitor consent mechanisms. Salient features—including the 3.5s ceremonial scales preloader, LERP cursor interpolation, sub-12ms bilingual Tamil translation, and automated WhatsApp brief docketing—establish a premier benchmark in legal informatics. Google Lighthouse audits validate optimal system performance with 100/100 accessibility, 100/100 best practices, 100/100 SEO, and 98/100 execution performance.</w:t>
      </w:r>
    </w:p>
    <w:p w14:paraId="077DD000" w14:textId="77777777" w:rsidR="00F7160C" w:rsidRDefault="00000000">
      <w:pPr>
        <w:keepNext/>
        <w:spacing w:before="120" w:after="30"/>
      </w:pPr>
      <w:r>
        <w:rPr>
          <w:b/>
          <w:color w:val="132238"/>
        </w:rPr>
        <w:t>6.2 Future Scope &amp; Emerging Technologies</w:t>
      </w:r>
    </w:p>
    <w:p w14:paraId="00A142A8" w14:textId="77777777" w:rsidR="00F7160C" w:rsidRDefault="00000000">
      <w:pPr>
        <w:jc w:val="both"/>
      </w:pPr>
      <w:r>
        <w:t>The modular architecture of the platform enables structured pathways for future technological expansion:</w:t>
      </w:r>
    </w:p>
    <w:p w14:paraId="4586D26A" w14:textId="77777777" w:rsidR="00F7160C" w:rsidRDefault="00000000">
      <w:pPr>
        <w:pStyle w:val="ListBullet"/>
        <w:spacing w:after="30"/>
        <w:jc w:val="both"/>
      </w:pPr>
      <w:r>
        <w:rPr>
          <w:b/>
          <w:color w:val="0F172A"/>
        </w:rPr>
        <w:t xml:space="preserve">On-Device WebAssembly LLM Brief Summarizer: </w:t>
      </w:r>
      <w:r>
        <w:t>Integrating a privacy-preserving on-device Large Language Model (e.g., Llama-3-8B via WebGPU / ONNX WebAssembly) to assist distressed litigants in structuring complex factual narratives into legally relevant chronological summaries directly in the browser.</w:t>
      </w:r>
    </w:p>
    <w:p w14:paraId="60430CDD" w14:textId="77777777" w:rsidR="00F7160C" w:rsidRDefault="00000000">
      <w:pPr>
        <w:pStyle w:val="ListBullet"/>
        <w:spacing w:after="30"/>
        <w:jc w:val="both"/>
      </w:pPr>
      <w:r>
        <w:rPr>
          <w:b/>
          <w:color w:val="0F172A"/>
        </w:rPr>
        <w:t xml:space="preserve">Automated e-Courts API Case Status Synchronization: </w:t>
      </w:r>
      <w:r>
        <w:t>Interfacing with National Judicial Data Grid (NJDG) open APIs to allow registered clients to look up daily court cause lists, bench assignments, and certified order copies directly from the portal.</w:t>
      </w:r>
    </w:p>
    <w:p w14:paraId="07517638" w14:textId="77777777" w:rsidR="00F7160C" w:rsidRDefault="00000000">
      <w:pPr>
        <w:pStyle w:val="ListBullet"/>
        <w:spacing w:after="30"/>
        <w:jc w:val="both"/>
      </w:pPr>
      <w:r>
        <w:rPr>
          <w:b/>
          <w:color w:val="0F172A"/>
        </w:rPr>
        <w:t xml:space="preserve">Progressive Web App (PWA) Offline Legal Rights Cache: </w:t>
      </w:r>
      <w:r>
        <w:t>Implementing Service Worker cache storage to provide rural litigants with complete offline access to foundational legal handbooks (bail rights, FIR procedures, and property title guidelines) during network outages in rural court complexes.</w:t>
      </w:r>
    </w:p>
    <w:sectPr w:rsidR="00F7160C" w:rsidSect="001E2E85">
      <w:headerReference w:type="default" r:id="rId19"/>
      <w:pgSz w:w="12240" w:h="15840"/>
      <w:pgMar w:top="1440"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4EA4" w14:textId="77777777" w:rsidR="00904F51" w:rsidRDefault="00904F51">
      <w:pPr>
        <w:spacing w:after="0" w:line="240" w:lineRule="auto"/>
      </w:pPr>
      <w:r>
        <w:separator/>
      </w:r>
    </w:p>
  </w:endnote>
  <w:endnote w:type="continuationSeparator" w:id="0">
    <w:p w14:paraId="3EC25356" w14:textId="77777777" w:rsidR="00904F51" w:rsidRDefault="00904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8EBE" w14:textId="77777777" w:rsidR="00904F51" w:rsidRDefault="00904F51">
      <w:pPr>
        <w:spacing w:after="0" w:line="240" w:lineRule="auto"/>
      </w:pPr>
      <w:r>
        <w:separator/>
      </w:r>
    </w:p>
  </w:footnote>
  <w:footnote w:type="continuationSeparator" w:id="0">
    <w:p w14:paraId="521FB762" w14:textId="77777777" w:rsidR="00904F51" w:rsidRDefault="00904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3431" w14:textId="74935FDA" w:rsidR="00F7160C" w:rsidRDefault="00F7160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5404">
    <w:abstractNumId w:val="8"/>
  </w:num>
  <w:num w:numId="2" w16cid:durableId="1829206666">
    <w:abstractNumId w:val="6"/>
  </w:num>
  <w:num w:numId="3" w16cid:durableId="407075671">
    <w:abstractNumId w:val="5"/>
  </w:num>
  <w:num w:numId="4" w16cid:durableId="719747502">
    <w:abstractNumId w:val="4"/>
  </w:num>
  <w:num w:numId="5" w16cid:durableId="1020544733">
    <w:abstractNumId w:val="7"/>
  </w:num>
  <w:num w:numId="6" w16cid:durableId="1889411453">
    <w:abstractNumId w:val="3"/>
  </w:num>
  <w:num w:numId="7" w16cid:durableId="686906878">
    <w:abstractNumId w:val="2"/>
  </w:num>
  <w:num w:numId="8" w16cid:durableId="1024281543">
    <w:abstractNumId w:val="1"/>
  </w:num>
  <w:num w:numId="9" w16cid:durableId="5644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522"/>
    <w:rsid w:val="0015074B"/>
    <w:rsid w:val="001E2E85"/>
    <w:rsid w:val="0029639D"/>
    <w:rsid w:val="00326F90"/>
    <w:rsid w:val="00440704"/>
    <w:rsid w:val="00904F51"/>
    <w:rsid w:val="00AA1D8D"/>
    <w:rsid w:val="00B47730"/>
    <w:rsid w:val="00CB0664"/>
    <w:rsid w:val="00F71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1CAED"/>
  <w14:defaultImageDpi w14:val="300"/>
  <w15:docId w15:val="{CF003D77-D6EE-4D78-8621-48292B80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60" w:lineRule="auto"/>
    </w:pPr>
    <w:rPr>
      <w:rFonts w:ascii="Times New Roman" w:hAnsi="Times New Roman"/>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3289</Words>
  <Characters>18751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SUNDARESAN SADHASIVAM</cp:lastModifiedBy>
  <cp:revision>2</cp:revision>
  <dcterms:created xsi:type="dcterms:W3CDTF">2013-12-23T23:15:00Z</dcterms:created>
  <dcterms:modified xsi:type="dcterms:W3CDTF">2026-10-24T05:40:00Z</dcterms:modified>
  <cp:category/>
</cp:coreProperties>
</file>