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b/>
          <w:color w:val="1A365D"/>
          <w:sz w:val="36"/>
        </w:rPr>
        <w:t>MUKTHA RAMESH</w:t>
      </w:r>
    </w:p>
    <w:p>
      <w:pPr>
        <w:spacing w:before="0" w:after="60" w:line="276" w:lineRule="auto"/>
        <w:jc w:val="center"/>
      </w:pPr>
      <w:r>
        <w:rPr>
          <w:b/>
          <w:color w:val="4A5568"/>
          <w:sz w:val="21"/>
        </w:rPr>
        <w:t>Salesforce Administrator &amp; Platform Integrations Specialist</w:t>
      </w:r>
    </w:p>
    <w:p>
      <w:pPr>
        <w:spacing w:before="0" w:after="240" w:line="276" w:lineRule="auto"/>
        <w:jc w:val="center"/>
      </w:pPr>
      <w:r>
        <w:rPr>
          <w:color w:val="718096"/>
          <w:sz w:val="17"/>
        </w:rPr>
        <w:t>Email: muktha.rameshb@redhorse.red  |  GitHub Portfolio: github.com/muktharamesh/salesforce-portfolio</w:t>
      </w:r>
    </w:p>
    <w:p>
      <w:pPr>
        <w:keepNext/>
        <w:spacing w:before="240" w:after="80" w:line="276" w:lineRule="auto"/>
      </w:pPr>
      <w:r>
        <w:rPr>
          <w:rFonts w:ascii="Arial" w:hAnsi="Arial"/>
          <w:b/>
          <w:color w:val="1A365D"/>
          <w:sz w:val="21"/>
        </w:rPr>
        <w:t>PROFESSIONAL SUMMARY</w:t>
      </w:r>
    </w:p>
    <w:p>
      <w:pPr>
        <w:spacing w:before="0" w:after="200" w:line="276" w:lineRule="auto"/>
      </w:pPr>
      <w:r>
        <w:t>Result-oriented Salesforce Administrator and Integrations Specialist with a proven track record of designing custom cloud-to-cloud integrations, database schemas, and robust business automations. Expert in translating business bottlenecks into scalable technical solutions using Salesforce DX, Lightning Flow, Zapier, and custom metadata architectures. Proven ability to eliminate manual overhead, improve data integrity by 100%, and deliver real-time business intelligence to leadership.</w:t>
      </w:r>
    </w:p>
    <w:p>
      <w:pPr>
        <w:keepNext/>
        <w:spacing w:before="240" w:after="80" w:line="276" w:lineRule="auto"/>
      </w:pPr>
      <w:r>
        <w:rPr>
          <w:rFonts w:ascii="Arial" w:hAnsi="Arial"/>
          <w:b/>
          <w:color w:val="1A365D"/>
          <w:sz w:val="21"/>
        </w:rPr>
        <w:t>TECHNICAL SKILLS</w:t>
      </w:r>
    </w:p>
    <w:p>
      <w:pPr>
        <w:spacing w:before="0" w:after="60" w:line="276" w:lineRule="auto"/>
      </w:pPr>
      <w:r>
        <w:rPr>
          <w:b/>
        </w:rPr>
        <w:t xml:space="preserve">Salesforce Platform: </w:t>
      </w:r>
      <w:r>
        <w:t>Flow Builder (Screen &amp; Record-Triggered Flows), Custom Objects &amp; Fields, Reports &amp; Dashboards, Salesforce DX CLI, User/Role Management.</w:t>
      </w:r>
    </w:p>
    <w:p>
      <w:pPr>
        <w:spacing w:before="0" w:after="200" w:line="276" w:lineRule="auto"/>
      </w:pPr>
      <w:r>
        <w:rPr>
          <w:b/>
        </w:rPr>
        <w:t xml:space="preserve">Integrations &amp; Tools: </w:t>
      </w:r>
      <w:r>
        <w:t>Zapier (NLA, Webhooks, API Mappings), Salesforce Tooling API, REST Webhooks, Git Version Control, GitHub.</w:t>
      </w:r>
    </w:p>
    <w:p>
      <w:pPr>
        <w:keepNext/>
        <w:spacing w:before="240" w:after="80" w:line="276" w:lineRule="auto"/>
      </w:pPr>
      <w:r>
        <w:rPr>
          <w:rFonts w:ascii="Arial" w:hAnsi="Arial"/>
          <w:b/>
          <w:color w:val="1A365D"/>
          <w:sz w:val="21"/>
        </w:rPr>
        <w:t>KEY INTEGRATIONS &amp; AUTOMATIONS (PORTFOLIO HIGHLIGHTS)</w:t>
      </w:r>
    </w:p>
    <w:p>
      <w:pPr>
        <w:keepNext/>
        <w:spacing w:before="80" w:after="40" w:line="276" w:lineRule="auto"/>
      </w:pPr>
      <w:r>
        <w:rPr>
          <w:b/>
          <w:sz w:val="20"/>
        </w:rPr>
        <w:t>BetterWorld to Salesforce Integration (Cloud-to-Cloud Automation)</w:t>
      </w:r>
    </w:p>
    <w:p>
      <w:pPr>
        <w:pStyle w:val="ListBullet"/>
        <w:spacing w:before="0" w:after="60" w:line="276" w:lineRule="auto"/>
      </w:pPr>
      <w:r>
        <w:rPr>
          <w:rFonts w:ascii="Arial" w:hAnsi="Arial"/>
          <w:b/>
          <w:color w:val="2D3748"/>
          <w:sz w:val="19"/>
        </w:rPr>
      </w:r>
      <w:r>
        <w:rPr>
          <w:rFonts w:ascii="Arial" w:hAnsi="Arial"/>
          <w:color w:val="2D3748"/>
          <w:sz w:val="19"/>
        </w:rPr>
        <w:t>Designed a zero-duplication database landing system connecting BetterWorld auction and donation webhooks to Salesforce via Zapier.</w:t>
      </w:r>
    </w:p>
    <w:p>
      <w:pPr>
        <w:pStyle w:val="ListBullet"/>
        <w:spacing w:before="0" w:after="60" w:line="276" w:lineRule="auto"/>
      </w:pPr>
      <w:r>
        <w:rPr>
          <w:rFonts w:ascii="Arial" w:hAnsi="Arial"/>
          <w:b/>
          <w:color w:val="2D3748"/>
          <w:sz w:val="19"/>
        </w:rPr>
        <w:t xml:space="preserve">Eliminated 100% of manual data entry </w:t>
      </w:r>
      <w:r>
        <w:rPr>
          <w:rFonts w:ascii="Arial" w:hAnsi="Arial"/>
          <w:color w:val="2D3748"/>
          <w:sz w:val="19"/>
        </w:rPr>
        <w:t>for all external ticket purchases, donations, and auction winners.</w:t>
      </w:r>
    </w:p>
    <w:p>
      <w:pPr>
        <w:pStyle w:val="ListBullet"/>
        <w:spacing w:before="0" w:after="60" w:line="276" w:lineRule="auto"/>
      </w:pPr>
      <w:r>
        <w:rPr>
          <w:rFonts w:ascii="Arial" w:hAnsi="Arial"/>
          <w:b/>
          <w:color w:val="2D3748"/>
          <w:sz w:val="19"/>
        </w:rPr>
        <w:t xml:space="preserve">Saved 15+ hours per week </w:t>
      </w:r>
      <w:r>
        <w:rPr>
          <w:rFonts w:ascii="Arial" w:hAnsi="Arial"/>
          <w:color w:val="2D3748"/>
          <w:sz w:val="19"/>
        </w:rPr>
        <w:t>of manual administration time (approx. 780 hours/year).</w:t>
      </w:r>
    </w:p>
    <w:p>
      <w:pPr>
        <w:pStyle w:val="ListBullet"/>
        <w:spacing w:before="0" w:after="60" w:line="276" w:lineRule="auto"/>
      </w:pPr>
      <w:r>
        <w:rPr>
          <w:rFonts w:ascii="Arial" w:hAnsi="Arial"/>
          <w:b/>
          <w:color w:val="2D3748"/>
          <w:sz w:val="19"/>
        </w:rPr>
        <w:t xml:space="preserve">Saved an estimated $19,500+ in annual operational overhead </w:t>
      </w:r>
      <w:r>
        <w:rPr>
          <w:rFonts w:ascii="Arial" w:hAnsi="Arial"/>
          <w:color w:val="2D3748"/>
          <w:sz w:val="19"/>
        </w:rPr>
        <w:t>(based on a standard coordinator rate of $25/hr).</w:t>
      </w:r>
    </w:p>
    <w:p>
      <w:pPr>
        <w:pStyle w:val="ListBullet"/>
        <w:spacing w:before="0" w:after="60" w:line="276" w:lineRule="auto"/>
      </w:pPr>
      <w:r>
        <w:rPr>
          <w:rFonts w:ascii="Arial" w:hAnsi="Arial"/>
          <w:b/>
          <w:color w:val="2D3748"/>
          <w:sz w:val="19"/>
        </w:rPr>
        <w:t xml:space="preserve">Reduced data mapping errors to 0% </w:t>
      </w:r>
      <w:r>
        <w:rPr>
          <w:rFonts w:ascii="Arial" w:hAnsi="Arial"/>
          <w:color w:val="2D3748"/>
          <w:sz w:val="19"/>
        </w:rPr>
        <w:t>by building custom validation and landing table architecture.</w:t>
      </w:r>
    </w:p>
    <w:p>
      <w:pPr>
        <w:keepNext/>
        <w:spacing w:before="120" w:after="40" w:line="276" w:lineRule="auto"/>
      </w:pPr>
      <w:r>
        <w:rPr>
          <w:b/>
          <w:sz w:val="20"/>
        </w:rPr>
        <w:t>Square Point-of-Sale Event Integration (Collaborative Project)</w:t>
      </w:r>
    </w:p>
    <w:p>
      <w:pPr>
        <w:pStyle w:val="ListBullet"/>
        <w:spacing w:before="0" w:after="60" w:line="276" w:lineRule="auto"/>
      </w:pPr>
      <w:r>
        <w:rPr>
          <w:rFonts w:ascii="Arial" w:hAnsi="Arial"/>
          <w:b/>
          <w:color w:val="2D3748"/>
          <w:sz w:val="19"/>
        </w:rPr>
      </w:r>
      <w:r>
        <w:rPr>
          <w:rFonts w:ascii="Arial" w:hAnsi="Arial"/>
          <w:color w:val="2D3748"/>
          <w:sz w:val="19"/>
        </w:rPr>
        <w:t>Managed the business architecture and schema mapping for point-of-sale transaction sync (co-developed with Stacy McDonald).</w:t>
      </w:r>
    </w:p>
    <w:p>
      <w:pPr>
        <w:pStyle w:val="ListBullet"/>
        <w:spacing w:before="0" w:after="60" w:line="276" w:lineRule="auto"/>
      </w:pPr>
      <w:r>
        <w:rPr>
          <w:rFonts w:ascii="Arial" w:hAnsi="Arial"/>
          <w:b/>
          <w:color w:val="2D3748"/>
          <w:sz w:val="19"/>
        </w:rPr>
        <w:t xml:space="preserve">Unified in-person card transactions </w:t>
      </w:r>
      <w:r>
        <w:rPr>
          <w:rFonts w:ascii="Arial" w:hAnsi="Arial"/>
          <w:color w:val="2D3748"/>
          <w:sz w:val="19"/>
        </w:rPr>
        <w:t>and digital CRM databases, eliminating manual reconciliation sheets for fundraising events.</w:t>
      </w:r>
    </w:p>
    <w:p>
      <w:pPr>
        <w:pStyle w:val="ListBullet"/>
        <w:spacing w:before="0" w:after="60" w:line="276" w:lineRule="auto"/>
      </w:pPr>
      <w:r>
        <w:rPr>
          <w:rFonts w:ascii="Arial" w:hAnsi="Arial"/>
          <w:b/>
          <w:color w:val="2D3748"/>
          <w:sz w:val="19"/>
        </w:rPr>
        <w:t xml:space="preserve">Secured 100% accurate tracking of processing fees </w:t>
      </w:r>
      <w:r>
        <w:rPr>
          <w:rFonts w:ascii="Arial" w:hAnsi="Arial"/>
          <w:color w:val="2D3748"/>
          <w:sz w:val="19"/>
        </w:rPr>
        <w:t>and transaction IDs (using Processing_Fee__c), improving financial audit readiness.</w:t>
      </w:r>
    </w:p>
    <w:p>
      <w:pPr>
        <w:pStyle w:val="ListBullet"/>
        <w:spacing w:before="0" w:after="60" w:line="276" w:lineRule="auto"/>
      </w:pPr>
      <w:r>
        <w:rPr>
          <w:rFonts w:ascii="Arial" w:hAnsi="Arial"/>
          <w:b/>
          <w:color w:val="2D3748"/>
          <w:sz w:val="19"/>
        </w:rPr>
        <w:t xml:space="preserve">Saved an estimated 8+ hours </w:t>
      </w:r>
      <w:r>
        <w:rPr>
          <w:rFonts w:ascii="Arial" w:hAnsi="Arial"/>
          <w:color w:val="2D3748"/>
          <w:sz w:val="19"/>
        </w:rPr>
        <w:t>of accounting reconciliation time per live event.</w:t>
      </w:r>
    </w:p>
    <w:p>
      <w:pPr>
        <w:keepNext/>
        <w:spacing w:before="120" w:after="40" w:line="276" w:lineRule="auto"/>
      </w:pPr>
      <w:r>
        <w:rPr>
          <w:b/>
          <w:sz w:val="20"/>
        </w:rPr>
        <w:t>Custom CSV Import Wizard &amp; Record Automator (LWC &amp; Apex Utility)</w:t>
      </w:r>
    </w:p>
    <w:p>
      <w:pPr>
        <w:pStyle w:val="ListBullet"/>
        <w:spacing w:before="0" w:after="60" w:line="276" w:lineRule="auto"/>
      </w:pPr>
      <w:r>
        <w:rPr>
          <w:rFonts w:ascii="Arial" w:hAnsi="Arial"/>
          <w:b/>
          <w:color w:val="2D3748"/>
          <w:sz w:val="19"/>
        </w:rPr>
      </w:r>
      <w:r>
        <w:rPr>
          <w:rFonts w:ascii="Arial" w:hAnsi="Arial"/>
          <w:color w:val="2D3748"/>
          <w:sz w:val="19"/>
        </w:rPr>
        <w:t>Developed a custom Lightning Web Component and Apex database staging framework to automate bulk constituent uploads.</w:t>
      </w:r>
    </w:p>
    <w:p>
      <w:pPr>
        <w:pStyle w:val="ListBullet"/>
        <w:spacing w:before="0" w:after="60" w:line="276" w:lineRule="auto"/>
      </w:pPr>
      <w:r>
        <w:rPr>
          <w:rFonts w:ascii="Arial" w:hAnsi="Arial"/>
          <w:b/>
          <w:color w:val="2D3748"/>
          <w:sz w:val="19"/>
        </w:rPr>
        <w:t xml:space="preserve">Enforced Data Integrity: </w:t>
      </w:r>
      <w:r>
        <w:rPr>
          <w:rFonts w:ascii="Arial" w:hAnsi="Arial"/>
          <w:color w:val="2D3748"/>
          <w:sz w:val="19"/>
        </w:rPr>
        <w:t>Created client-side CSV validation and an intermediate staging architecture (Item_Donor__c) with automated Contact matching rules, reducing duplicate accounts by 100%.</w:t>
      </w:r>
    </w:p>
    <w:p>
      <w:pPr>
        <w:pStyle w:val="ListBullet"/>
        <w:spacing w:before="0" w:after="60" w:line="276" w:lineRule="auto"/>
      </w:pPr>
      <w:r>
        <w:rPr>
          <w:rFonts w:ascii="Arial" w:hAnsi="Arial"/>
          <w:b/>
          <w:color w:val="2D3748"/>
          <w:sz w:val="19"/>
        </w:rPr>
        <w:t xml:space="preserve">Automated Gift Processing: </w:t>
      </w:r>
      <w:r>
        <w:rPr>
          <w:rFonts w:ascii="Arial" w:hAnsi="Arial"/>
          <w:color w:val="2D3748"/>
          <w:sz w:val="19"/>
        </w:rPr>
        <w:t>Triggered automated Opportunity creation (Record Type: In-Kind Gift) with mapped Campaign sources, Close Dates, realized amounts, and charitable fund allocations (Charitable_Fund__c).</w:t>
      </w:r>
    </w:p>
    <w:p>
      <w:pPr>
        <w:pStyle w:val="ListBullet"/>
        <w:spacing w:before="0" w:after="60" w:line="276" w:lineRule="auto"/>
      </w:pPr>
      <w:r>
        <w:rPr>
          <w:rFonts w:ascii="Arial" w:hAnsi="Arial"/>
          <w:b/>
          <w:color w:val="2D3748"/>
          <w:sz w:val="19"/>
        </w:rPr>
        <w:t xml:space="preserve">Automated Error Tracking: </w:t>
      </w:r>
      <w:r>
        <w:rPr>
          <w:rFonts w:ascii="Arial" w:hAnsi="Arial"/>
          <w:color w:val="2D3748"/>
          <w:sz w:val="19"/>
        </w:rPr>
        <w:t>Structured automatic transaction status reporting ('Processed' / 'Failed' with detailed error logs) to allow admins to immediately troubleshoot data issues.</w:t>
      </w:r>
    </w:p>
    <w:p>
      <w:pPr>
        <w:keepNext/>
        <w:spacing w:before="120" w:after="40" w:line="276" w:lineRule="auto"/>
      </w:pPr>
      <w:r>
        <w:rPr>
          <w:b/>
          <w:sz w:val="20"/>
        </w:rPr>
        <w:t>Automated Supporter Segmentation &amp; Privacy Compliance (Ghost Sync Integration)</w:t>
      </w:r>
    </w:p>
    <w:p>
      <w:pPr>
        <w:pStyle w:val="ListBullet"/>
        <w:spacing w:before="0" w:after="60" w:line="276" w:lineRule="auto"/>
      </w:pPr>
      <w:r>
        <w:rPr>
          <w:rFonts w:ascii="Arial" w:hAnsi="Arial"/>
          <w:b/>
          <w:color w:val="2D3748"/>
          <w:sz w:val="19"/>
        </w:rPr>
      </w:r>
      <w:r>
        <w:rPr>
          <w:rFonts w:ascii="Arial" w:hAnsi="Arial"/>
          <w:color w:val="2D3748"/>
          <w:sz w:val="19"/>
        </w:rPr>
        <w:t>Architected a record-triggered flow and database tagging engine connecting Salesforce to the Ghost newsletter and email marketing platform.</w:t>
      </w:r>
    </w:p>
    <w:p>
      <w:pPr>
        <w:pStyle w:val="ListBullet"/>
        <w:spacing w:before="0" w:after="60" w:line="276" w:lineRule="auto"/>
      </w:pPr>
      <w:r>
        <w:rPr>
          <w:rFonts w:ascii="Arial" w:hAnsi="Arial"/>
          <w:b/>
          <w:color w:val="2D3748"/>
          <w:sz w:val="19"/>
        </w:rPr>
        <w:t xml:space="preserve">Dynamic Supporter Segmentation: </w:t>
      </w:r>
      <w:r>
        <w:rPr>
          <w:rFonts w:ascii="Arial" w:hAnsi="Arial"/>
          <w:color w:val="2D3748"/>
          <w:sz w:val="19"/>
        </w:rPr>
        <w:t>Designed a custom formula field (Ghost_Labels__c) that dynamically generates subscriber interest tags based on contact picklists and opportunity record types, enabling targeted automated email campaigns.</w:t>
      </w:r>
    </w:p>
    <w:p>
      <w:pPr>
        <w:pStyle w:val="ListBullet"/>
        <w:spacing w:before="0" w:after="60" w:line="276" w:lineRule="auto"/>
      </w:pPr>
      <w:r>
        <w:rPr>
          <w:rFonts w:ascii="Arial" w:hAnsi="Arial"/>
          <w:b/>
          <w:color w:val="2D3748"/>
          <w:sz w:val="19"/>
        </w:rPr>
        <w:t xml:space="preserve">Automated Sync: </w:t>
      </w:r>
      <w:r>
        <w:rPr>
          <w:rFonts w:ascii="Arial" w:hAnsi="Arial"/>
          <w:color w:val="2D3748"/>
          <w:sz w:val="19"/>
        </w:rPr>
        <w:t>Real-time sync of new donors, purchasers, and event registrants to Ghost via Zapier, saving 3–5 hours/week of manual list management.</w:t>
      </w:r>
    </w:p>
    <w:p>
      <w:pPr>
        <w:pStyle w:val="ListBullet"/>
        <w:spacing w:before="0" w:after="60" w:line="276" w:lineRule="auto"/>
      </w:pPr>
      <w:r>
        <w:rPr>
          <w:rFonts w:ascii="Arial" w:hAnsi="Arial"/>
          <w:b/>
          <w:color w:val="2D3748"/>
          <w:sz w:val="19"/>
        </w:rPr>
        <w:t xml:space="preserve">Ensured 100% Privacy Compliance: </w:t>
      </w:r>
      <w:r>
        <w:rPr>
          <w:rFonts w:ascii="Arial" w:hAnsi="Arial"/>
          <w:color w:val="2D3748"/>
          <w:sz w:val="19"/>
        </w:rPr>
        <w:t>Configured a filter rule to programmatically exclude sensitive Mental Health Session records, eliminating the risk of human error violating privacy policies.</w:t>
      </w:r>
    </w:p>
    <w:p>
      <w:pPr>
        <w:keepNext/>
        <w:spacing w:before="240" w:after="80" w:line="276" w:lineRule="auto"/>
      </w:pPr>
      <w:r>
        <w:rPr>
          <w:rFonts w:ascii="Arial" w:hAnsi="Arial"/>
          <w:b/>
          <w:color w:val="1A365D"/>
          <w:sz w:val="21"/>
        </w:rPr>
        <w:t>DAY-TO-DAY SALESFORCE ADMINISTRATION &amp; PLATFORM MAINTENANCE</w:t>
      </w:r>
    </w:p>
    <w:p>
      <w:pPr>
        <w:pStyle w:val="ListBullet"/>
        <w:spacing w:before="0" w:after="60" w:line="276" w:lineRule="auto"/>
      </w:pPr>
      <w:r>
        <w:rPr>
          <w:rFonts w:ascii="Arial" w:hAnsi="Arial"/>
          <w:b/>
          <w:color w:val="2D3748"/>
          <w:sz w:val="19"/>
        </w:rPr>
        <w:t xml:space="preserve">Database Schema &amp; Custom Fields: </w:t>
      </w:r>
      <w:r>
        <w:rPr>
          <w:rFonts w:ascii="Arial" w:hAnsi="Arial"/>
          <w:color w:val="2D3748"/>
          <w:sz w:val="19"/>
        </w:rPr>
        <w:t>Created and updated custom fields, lookups, and formula fields (such as QB_Payment_Method_Formula__c and Current_Calendar_Year__c) to align data formats for downstream accounting systems (QuickBooks).</w:t>
      </w:r>
    </w:p>
    <w:p>
      <w:pPr>
        <w:pStyle w:val="ListBullet"/>
        <w:spacing w:before="0" w:after="60" w:line="276" w:lineRule="auto"/>
      </w:pPr>
      <w:r>
        <w:rPr>
          <w:rFonts w:ascii="Arial" w:hAnsi="Arial"/>
          <w:b/>
          <w:color w:val="2D3748"/>
          <w:sz w:val="19"/>
        </w:rPr>
        <w:t xml:space="preserve">Campaign Hierarchy Management: </w:t>
      </w:r>
      <w:r>
        <w:rPr>
          <w:rFonts w:ascii="Arial" w:hAnsi="Arial"/>
          <w:color w:val="2D3748"/>
          <w:sz w:val="19"/>
        </w:rPr>
        <w:t>Structured parent-child campaign roll-ups, ensuring aggregate totals (member counts, donation amounts) roll up accurately for executive visibility.</w:t>
      </w:r>
    </w:p>
    <w:p>
      <w:pPr>
        <w:pStyle w:val="ListBullet"/>
        <w:spacing w:before="0" w:after="60" w:line="276" w:lineRule="auto"/>
      </w:pPr>
      <w:r>
        <w:rPr>
          <w:rFonts w:ascii="Arial" w:hAnsi="Arial"/>
          <w:b/>
          <w:color w:val="2D3748"/>
          <w:sz w:val="19"/>
        </w:rPr>
        <w:t xml:space="preserve">Email Templates: </w:t>
      </w:r>
      <w:r>
        <w:rPr>
          <w:rFonts w:ascii="Arial" w:hAnsi="Arial"/>
          <w:color w:val="2D3748"/>
          <w:sz w:val="19"/>
        </w:rPr>
        <w:t>Authored and updated HTML/Classic Email Templates linked to automated system flows to standardize and automate transactional communications.</w:t>
      </w:r>
    </w:p>
    <w:p>
      <w:pPr>
        <w:pStyle w:val="ListBullet"/>
        <w:spacing w:before="0" w:after="60" w:line="276" w:lineRule="auto"/>
      </w:pPr>
      <w:r>
        <w:rPr>
          <w:rFonts w:ascii="Arial" w:hAnsi="Arial"/>
          <w:b/>
          <w:color w:val="2D3748"/>
          <w:sz w:val="19"/>
        </w:rPr>
        <w:t xml:space="preserve">Data Quality &amp; Deduplication: </w:t>
      </w:r>
      <w:r>
        <w:rPr>
          <w:rFonts w:ascii="Arial" w:hAnsi="Arial"/>
          <w:color w:val="2D3748"/>
          <w:sz w:val="19"/>
        </w:rPr>
        <w:t>Conducted regular system audits, creating custom reports (like the Duplicate Contact &amp; Account Report) to identify, merge, and purge duplicate records, maintaining a high-fidelity CRM database.</w:t>
      </w:r>
    </w:p>
    <w:p>
      <w:pPr>
        <w:pStyle w:val="ListBullet"/>
        <w:spacing w:before="0" w:after="60" w:line="276" w:lineRule="auto"/>
      </w:pPr>
      <w:r>
        <w:rPr>
          <w:rFonts w:ascii="Arial" w:hAnsi="Arial"/>
          <w:b/>
          <w:color w:val="2D3748"/>
          <w:sz w:val="19"/>
        </w:rPr>
        <w:t xml:space="preserve">Executive Dashboarding: </w:t>
      </w:r>
      <w:r>
        <w:rPr>
          <w:rFonts w:ascii="Arial" w:hAnsi="Arial"/>
          <w:color w:val="2D3748"/>
          <w:sz w:val="19"/>
        </w:rPr>
        <w:t>Configured a central executive dashboard fed by 18 custom-built reports tracking year-over-year giving circles, payment offsets, and donor recency, reducing reporting prep time from 4 hours/week to instantaneous, real-time access.</w:t>
      </w:r>
    </w:p>
    <w:p>
      <w:pPr>
        <w:keepNext/>
        <w:spacing w:before="240" w:after="80" w:line="276" w:lineRule="auto"/>
      </w:pPr>
      <w:r>
        <w:rPr>
          <w:rFonts w:ascii="Arial" w:hAnsi="Arial"/>
          <w:b/>
          <w:color w:val="1A365D"/>
          <w:sz w:val="21"/>
        </w:rPr>
        <w:t>CERTIFICATIONS &amp; PROFESSIONAL DEVELOPMENT</w:t>
      </w:r>
    </w:p>
    <w:p>
      <w:pPr>
        <w:pStyle w:val="ListBullet"/>
        <w:spacing w:before="0" w:after="60" w:line="276" w:lineRule="auto"/>
      </w:pPr>
      <w:r>
        <w:rPr>
          <w:rFonts w:ascii="Arial" w:hAnsi="Arial"/>
        </w:rPr>
        <w:t>Salesforce Certified Administrator</w:t>
      </w:r>
    </w:p>
    <w:p>
      <w:pPr>
        <w:pStyle w:val="ListBullet"/>
        <w:spacing w:before="0" w:after="60" w:line="276" w:lineRule="auto"/>
      </w:pPr>
      <w:r>
        <w:rPr>
          <w:rFonts w:ascii="Arial" w:hAnsi="Arial"/>
        </w:rPr>
        <w:t>Continuous study in Salesforce Lightning Web Components (LWC) and Apex Development.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