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F172A"/>
          <w:sz w:val="40"/>
        </w:rPr>
        <w:t>PERFORMANCE EVALUATION &amp; PROCESS IMPROVEMENT IN FINANCIAL REPORTING</w:t>
      </w:r>
    </w:p>
    <w:p>
      <w:pPr>
        <w:spacing w:after="320"/>
      </w:pPr>
      <w:r>
        <w:rPr>
          <w:rFonts w:ascii="Calibri" w:hAnsi="Calibri"/>
          <w:color w:val="64748B"/>
          <w:sz w:val="22"/>
        </w:rPr>
        <w:t>Financial Reporting Internship | Week 6 Technical Deliverable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334155"/>
                <w:sz w:val="20"/>
              </w:rPr>
              <w:t>Role Perspective:</w:t>
            </w:r>
          </w:p>
        </w:tc>
        <w:tc>
          <w:tcPr>
            <w:tcW w:type="dxa" w:w="619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0F172A"/>
                <w:sz w:val="20"/>
              </w:rPr>
              <w:t>Junior Financial Reporting Intern</w:t>
            </w:r>
          </w:p>
        </w:tc>
      </w:tr>
      <w:tr>
        <w:tc>
          <w:tcPr>
            <w:tcW w:type="dxa" w:w="3168"/>
            <w:shd w:val="clear" w:color="auto"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334155"/>
                <w:sz w:val="20"/>
              </w:rPr>
              <w:t>Process Focus:</w:t>
            </w:r>
          </w:p>
        </w:tc>
        <w:tc>
          <w:tcPr>
            <w:tcW w:type="dxa" w:w="619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0F172A"/>
                <w:sz w:val="20"/>
              </w:rPr>
              <w:t>Month-End Financial Close, Reconciliations &amp; Statutory Disclosures</w:t>
            </w:r>
          </w:p>
        </w:tc>
      </w:tr>
      <w:tr>
        <w:tc>
          <w:tcPr>
            <w:tcW w:type="dxa" w:w="3168"/>
            <w:shd w:val="clear" w:color="auto"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334155"/>
                <w:sz w:val="20"/>
              </w:rPr>
              <w:t>Core Methodology:</w:t>
            </w:r>
          </w:p>
        </w:tc>
        <w:tc>
          <w:tcPr>
            <w:tcW w:type="dxa" w:w="619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0F172A"/>
                <w:sz w:val="20"/>
              </w:rPr>
              <w:t>Lean Six Sigma (DMAIC), KPI Benchmarking &amp; Automation Mapping</w:t>
            </w:r>
          </w:p>
        </w:tc>
      </w:tr>
      <w:tr>
        <w:tc>
          <w:tcPr>
            <w:tcW w:type="dxa" w:w="3168"/>
            <w:shd w:val="clear" w:color="auto"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334155"/>
                <w:sz w:val="20"/>
              </w:rPr>
              <w:t>Estimated Effort:</w:t>
            </w:r>
          </w:p>
        </w:tc>
        <w:tc>
          <w:tcPr>
            <w:tcW w:type="dxa" w:w="619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0F172A"/>
                <w:sz w:val="20"/>
              </w:rPr>
              <w:t>30 – 35 Hours of Process Mapping, Diagnostic Analysis &amp; Planning</w:t>
            </w:r>
          </w:p>
        </w:tc>
      </w:tr>
      <w:tr>
        <w:tc>
          <w:tcPr>
            <w:tcW w:type="dxa" w:w="3168"/>
            <w:shd w:val="clear" w:color="auto"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334155"/>
                <w:sz w:val="20"/>
              </w:rPr>
              <w:t>Primary Output:</w:t>
            </w:r>
          </w:p>
        </w:tc>
        <w:tc>
          <w:tcPr>
            <w:tcW w:type="dxa" w:w="619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0F172A"/>
                <w:sz w:val="20"/>
              </w:rPr>
              <w:t>Detailed Performance Evaluation &amp; Process Improvement Report (.docx)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8"/>
        </w:rPr>
        <w:t>1. Executive Summary &amp; Overview of Current Close Process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22"/>
        </w:rPr>
        <w:t>As a Junior Financial Reporting Intern, evaluating operational efficiency is as critical as ensuring compliance. This performance evaluation examines an enterprise financial reporting process—specifically the Month-End Financial Close cycle—to identify operational bottlenecks, calculate key performance metrics, and present a strategic process improvement roadmap.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22"/>
        </w:rPr>
        <w:t>The current baseline process requires 12 business days to complete month-end consolidation and generate statutory financial statements. Heavy reliance on manual spreadsheet consolidations, disconnected sub-ledgers, and redundant review layers creates significant operational friction, elevated error risks, and analyst burnout.</w:t>
      </w: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8"/>
        </w:rPr>
        <w:t>2. Performance Metrics &amp; Diagnostic KPI Analysis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22"/>
        </w:rPr>
        <w:t>To benchmark the current financial reporting workflow, quantitative Key Performance Indicators (KPIs) were established across speed, accuracy, and operational cost dimensions: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172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Performance Metric / KPI</w:t>
            </w:r>
          </w:p>
        </w:tc>
        <w:tc>
          <w:tcPr>
            <w:tcW w:type="dxa" w:w="2340"/>
            <w:shd w:val="clear" w:color="auto" w:fill="0F172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Current Baseline</w:t>
            </w:r>
          </w:p>
        </w:tc>
        <w:tc>
          <w:tcPr>
            <w:tcW w:type="dxa" w:w="2340"/>
            <w:shd w:val="clear" w:color="auto" w:fill="0F172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Industry Target Benchmark</w:t>
            </w:r>
          </w:p>
        </w:tc>
        <w:tc>
          <w:tcPr>
            <w:tcW w:type="dxa" w:w="2340"/>
            <w:shd w:val="clear" w:color="auto" w:fill="0F172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Variance Status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Days to Close (Days to Final Financial Statements)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12 Business Days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5 Business Days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Needs Optimization (+7 Days)</w:t>
            </w:r>
          </w:p>
        </w:tc>
      </w:tr>
      <w:tr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Manual Journal Entry Percentage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42% of total entries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&lt; 10% automated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High Risk (Excessive Manual Work)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Post-Close Adjustments &amp; Error Frequency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8 per quarter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&lt; 1 per quarter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Rework Required</w:t>
            </w:r>
          </w:p>
        </w:tc>
      </w:tr>
      <w:tr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Sub-Ledger Reconciliation Automated Match Rate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55% automated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&gt; 90% automated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Severe Bottleneck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8"/>
        </w:rPr>
        <w:t>3. Root Cause Bottleneck Analysis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4"/>
        </w:rPr>
        <w:t>Inefficiency 1: Manual Data Ingestion &amp; Excel-Based Consolidations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22"/>
        </w:rPr>
        <w:t>Analytic teams spend approximately 18 hours per close cycle manually copying and pasting sub-ledger extracts (AR, AP, Inventory) into master Excel templates. This creates version control confusion and increases human error rates.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4"/>
        </w:rPr>
        <w:t>Inefficiency 2: Sequential, Non-Parallel Review Workflows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22"/>
        </w:rPr>
        <w:t>The review chain operates strictly in series: Analyst -&gt; Senior Accountant -&gt; Accounting Manager -&gt; Controller. Minor variance inquiries halt the entire process, causing severe scheduling delays.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4"/>
        </w:rPr>
        <w:t>Inefficiency 3: Reactive Variance Flux Analysis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22"/>
        </w:rPr>
        <w:t>Variance explanations (&gt;5% or $100k) are investigated manually after the close window, leading to rushed explanations and poor audit trail documentation.</w:t>
      </w: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8"/>
        </w:rPr>
        <w:t>4. Comprehensive Process Improvement Plan &amp; Implementation Roadmap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4"/>
        </w:rPr>
        <w:t>Short-Term Strategic Recommendations (Months 1 – 3)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22"/>
        </w:rPr>
        <w:t>• Deploy Robotic Process Automation (RPA) &amp; Power Query Pipelines: Automate data extraction from sub-ledgers directly into standardized financial reporting models, eliminating 15 hours of manual data entry.</w:t>
        <w:br/>
        <w:t>• Standardize Reconciliations: Implement standardized digital reconciliation templates with pre-built validation checks and automated discrepancy flagging.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4"/>
        </w:rPr>
        <w:t>Long-Term Strategic Recommendations (Months 4 – 12)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22"/>
        </w:rPr>
        <w:t>• Enterprise ERP Integration (Continuous Close Architecture): Transition from batch-processing to real-time GL postings, enabling continuous sub-ledger matching.</w:t>
        <w:br/>
        <w:t>• Parallel Review Workflows: Re-engineer approval hierarchies into continuous review checkpoints, allowing managers to sign off on completed sub-modules independently.</w:t>
      </w: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8"/>
        </w:rPr>
        <w:t>5. Governance, Resource Allocation &amp; Strategic Value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22"/>
        </w:rPr>
        <w:t>Implementation Resources: Requires 1 Lead Financial Systems Developer, 1 Senior Financial Reporting Analyst (0.5 FTE), and a budget allocation for RPA server licensing.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22"/>
        </w:rPr>
        <w:t>Strategic Impact: Successfully executing this improvement plan compresses the month-end close cycle from 12 to 5 business days, reduces manual journal entry risk by 75%, and frees up 25+ hours per analyst per month for high-value strategic decision support.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