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TASK</w:t>
        <w:br/>
        <w:t>DESIGNING EFFECTIVE FINANCIAL REPORTING TEMPLATES</w:t>
      </w:r>
    </w:p>
    <w:p>
      <w:pPr>
        <w:jc w:val="center"/>
      </w:pPr>
      <w:r>
        <w:rPr>
          <w:b/>
          <w:sz w:val="28"/>
        </w:rPr>
        <w:br/>
        <w:t>Junior Financial Analyst Portfolio Project</w:t>
      </w:r>
    </w:p>
    <w:p>
      <w:r>
        <w:br/>
      </w:r>
    </w:p>
    <w:tbl>
      <w:tblPr>
        <w:tblW w:type="auto" w:w="0"/>
        <w:jc w:val="center"/>
        <w:tblLook w:firstColumn="1" w:firstRow="1" w:lastColumn="0" w:lastRow="0" w:noHBand="0" w:noVBand="1" w:val="04A0"/>
      </w:tblPr>
      <w:tblGrid>
        <w:gridCol w:w="4968"/>
        <w:gridCol w:w="4968"/>
      </w:tblGrid>
      <w:tr>
        <w:tc>
          <w:tcPr>
            <w:tcW w:type="dxa" w:w="4968"/>
            <w:vAlign w:val="center"/>
            <w:shd w:fill="FFFFFF"/>
          </w:tcPr>
          <w:p>
            <w:r>
              <w:rPr>
                <w:sz w:val="18"/>
              </w:rPr>
              <w:t>Prepared By</w:t>
            </w:r>
          </w:p>
        </w:tc>
        <w:tc>
          <w:tcPr>
            <w:tcW w:type="dxa" w:w="4968"/>
            <w:vAlign w:val="center"/>
            <w:shd w:fill="FFFFFF"/>
          </w:tcPr>
          <w:p>
            <w:r>
              <w:rPr>
                <w:sz w:val="18"/>
              </w:rPr>
              <w:t>Mukti Patel</w:t>
            </w:r>
          </w:p>
        </w:tc>
      </w:tr>
      <w:tr>
        <w:tc>
          <w:tcPr>
            <w:tcW w:type="dxa" w:w="4968"/>
            <w:vAlign w:val="center"/>
            <w:shd w:fill="FFFFFF"/>
          </w:tcPr>
          <w:p>
            <w:r>
              <w:rPr>
                <w:sz w:val="18"/>
              </w:rPr>
              <w:t>Role Focus</w:t>
            </w:r>
          </w:p>
        </w:tc>
        <w:tc>
          <w:tcPr>
            <w:tcW w:type="dxa" w:w="4968"/>
            <w:vAlign w:val="center"/>
            <w:shd w:fill="FFFFFF"/>
          </w:tcPr>
          <w:p>
            <w:r>
              <w:rPr>
                <w:sz w:val="18"/>
              </w:rPr>
              <w:t>Junior Financial Analyst / Financial Reporting</w:t>
            </w:r>
          </w:p>
        </w:tc>
      </w:tr>
      <w:tr>
        <w:tc>
          <w:tcPr>
            <w:tcW w:type="dxa" w:w="4968"/>
            <w:vAlign w:val="center"/>
            <w:shd w:fill="FFFFFF"/>
          </w:tcPr>
          <w:p>
            <w:r>
              <w:rPr>
                <w:sz w:val="18"/>
              </w:rPr>
              <w:t>Company Used</w:t>
            </w:r>
          </w:p>
        </w:tc>
        <w:tc>
          <w:tcPr>
            <w:tcW w:type="dxa" w:w="4968"/>
            <w:vAlign w:val="center"/>
            <w:shd w:fill="FFFFFF"/>
          </w:tcPr>
          <w:p>
            <w:r>
              <w:rPr>
                <w:sz w:val="18"/>
              </w:rPr>
              <w:t>ABC Manufacturing Ltd. (Hypothetical)</w:t>
            </w:r>
          </w:p>
        </w:tc>
      </w:tr>
      <w:tr>
        <w:tc>
          <w:tcPr>
            <w:tcW w:type="dxa" w:w="4968"/>
            <w:vAlign w:val="center"/>
            <w:shd w:fill="FFFFFF"/>
          </w:tcPr>
          <w:p>
            <w:r>
              <w:rPr>
                <w:sz w:val="18"/>
              </w:rPr>
              <w:t>Reporting Framework</w:t>
            </w:r>
          </w:p>
        </w:tc>
        <w:tc>
          <w:tcPr>
            <w:tcW w:type="dxa" w:w="4968"/>
            <w:vAlign w:val="center"/>
            <w:shd w:fill="FFFFFF"/>
          </w:tcPr>
          <w:p>
            <w:r>
              <w:rPr>
                <w:sz w:val="18"/>
              </w:rPr>
              <w:t>Monthly / Quarterly / Annual adaptable reporting</w:t>
            </w:r>
          </w:p>
        </w:tc>
      </w:tr>
      <w:tr>
        <w:tc>
          <w:tcPr>
            <w:tcW w:type="dxa" w:w="4968"/>
            <w:vAlign w:val="center"/>
            <w:shd w:fill="FFFFFF"/>
          </w:tcPr>
          <w:p>
            <w:r>
              <w:rPr>
                <w:sz w:val="18"/>
              </w:rPr>
              <w:t>GitHub Repository</w:t>
            </w:r>
          </w:p>
        </w:tc>
        <w:tc>
          <w:tcPr>
            <w:tcW w:type="dxa" w:w="4968"/>
            <w:vAlign w:val="center"/>
            <w:shd w:fill="FFFFFF"/>
          </w:tcPr>
          <w:p>
            <w:r>
              <w:rPr>
                <w:sz w:val="18"/>
              </w:rPr>
              <w:t>https://github.com/mukti1p/financial-reporting-templates</w:t>
            </w:r>
          </w:p>
        </w:tc>
      </w:tr>
    </w:tbl>
    <w:p>
      <w:r>
        <w:br w:type="page"/>
      </w:r>
    </w:p>
    <w:p>
      <w:pPr>
        <w:pStyle w:val="Heading1"/>
      </w:pPr>
      <w:r>
        <w:t>1. Executive Summary</w:t>
      </w:r>
    </w:p>
    <w:p>
      <w:r>
        <w:t>This project develops a modular financial reporting framework designed for recurring reporting activities performed by a junior financial analyst. The framework includes templates for an income statement, balance sheet, cash flow statement and variance analysis report, supported by hypothetical financial data.</w:t>
      </w:r>
    </w:p>
    <w:p>
      <w:r>
        <w:t>The templates are designed to improve reporting consistency, reduce manual errors, make financial information easier to review, and support management decision-making. Each template follows a consistent structure containing a report header, reporting period, data fields, calculated outputs, summary metrics, commentary and review-oriented controls.</w:t>
      </w:r>
    </w:p>
    <w:p>
      <w:pPr>
        <w:pStyle w:val="Heading1"/>
      </w:pPr>
      <w:r>
        <w:t>2. Project Objectives</w:t>
      </w:r>
    </w:p>
    <w:p>
      <w:pPr>
        <w:pStyle w:val="ListBullet"/>
      </w:pPr>
      <w:r>
        <w:t>Create reusable and adaptable financial reporting templates.</w:t>
      </w:r>
    </w:p>
    <w:p>
      <w:pPr>
        <w:pStyle w:val="ListBullet"/>
      </w:pPr>
      <w:r>
        <w:t>Standardise the presentation of financial information across reporting periods.</w:t>
      </w:r>
    </w:p>
    <w:p>
      <w:pPr>
        <w:pStyle w:val="ListBullet"/>
      </w:pPr>
      <w:r>
        <w:t>Provide clear areas for data input, calculations, analysis and commentary.</w:t>
      </w:r>
    </w:p>
    <w:p>
      <w:pPr>
        <w:pStyle w:val="ListBullet"/>
      </w:pPr>
      <w:r>
        <w:t>Enable actual-versus-budget and period-versus-period comparisons.</w:t>
      </w:r>
    </w:p>
    <w:p>
      <w:pPr>
        <w:pStyle w:val="ListBullet"/>
      </w:pPr>
      <w:r>
        <w:t>Introduce basic control checks to identify inconsistencies or errors.</w:t>
      </w:r>
    </w:p>
    <w:p>
      <w:pPr>
        <w:pStyle w:val="ListBullet"/>
      </w:pPr>
      <w:r>
        <w:t>Support management with concise and decision-useful financial information.</w:t>
      </w:r>
    </w:p>
    <w:p>
      <w:pPr>
        <w:pStyle w:val="ListBullet"/>
      </w:pPr>
      <w:r>
        <w:t>Create a portfolio-ready deliverable demonstrating junior financial analyst capabilities.</w:t>
      </w:r>
    </w:p>
    <w:p>
      <w:pPr>
        <w:pStyle w:val="Heading1"/>
      </w:pPr>
      <w:r>
        <w:t>3. Scope and Reporting Context</w:t>
      </w:r>
    </w:p>
    <w:p>
      <w:r>
        <w:t>The project uses ABC Manufacturing Ltd. as a hypothetical reporting entity. The financial information is fictional and is used solely to demonstrate how a recurring reporting process could operate. The templates can be adapted for monthly, quarterly or annual reporting and can be used across different industries by changing the account structure, KPIs and commentary requirements.</w:t>
      </w:r>
    </w:p>
    <w:p>
      <w:pPr>
        <w:pStyle w:val="Heading1"/>
      </w:pPr>
      <w:r>
        <w:t>4. Financial Reporting Template Architecture</w:t>
      </w:r>
    </w:p>
    <w:p>
      <w:r>
        <w:t>All templates use a common reporting architecture so that users can move between reports without learning a different layout each time.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FFFFFF"/>
          </w:tcPr>
          <w:p>
            <w:r>
              <w:rPr>
                <w:b/>
                <w:sz w:val="18"/>
              </w:rPr>
              <w:t>Report Header</w:t>
            </w:r>
          </w:p>
        </w:tc>
        <w:tc>
          <w:tcPr>
            <w:tcW w:type="dxa" w:w="1419"/>
            <w:vAlign w:val="center"/>
            <w:shd w:fill="FFFFFF"/>
          </w:tcPr>
          <w:p>
            <w:r>
              <w:rPr>
                <w:b/>
                <w:sz w:val="18"/>
              </w:rPr>
              <w:t>Data Input</w:t>
            </w:r>
          </w:p>
        </w:tc>
        <w:tc>
          <w:tcPr>
            <w:tcW w:type="dxa" w:w="1419"/>
            <w:vAlign w:val="center"/>
            <w:shd w:fill="FFFFFF"/>
          </w:tcPr>
          <w:p>
            <w:r>
              <w:rPr>
                <w:b/>
                <w:sz w:val="18"/>
              </w:rPr>
              <w:t>Calculations</w:t>
            </w:r>
          </w:p>
        </w:tc>
        <w:tc>
          <w:tcPr>
            <w:tcW w:type="dxa" w:w="1419"/>
            <w:vAlign w:val="center"/>
            <w:shd w:fill="FFFFFF"/>
          </w:tcPr>
          <w:p>
            <w:r>
              <w:rPr>
                <w:b/>
                <w:sz w:val="18"/>
              </w:rPr>
              <w:t>Summary</w:t>
            </w:r>
          </w:p>
        </w:tc>
        <w:tc>
          <w:tcPr>
            <w:tcW w:type="dxa" w:w="1419"/>
            <w:vAlign w:val="center"/>
            <w:shd w:fill="FFFFFF"/>
          </w:tcPr>
          <w:p>
            <w:r>
              <w:rPr>
                <w:b/>
                <w:sz w:val="18"/>
              </w:rPr>
              <w:t>Variance</w:t>
            </w:r>
          </w:p>
        </w:tc>
        <w:tc>
          <w:tcPr>
            <w:tcW w:type="dxa" w:w="1419"/>
            <w:vAlign w:val="center"/>
            <w:shd w:fill="FFFFFF"/>
          </w:tcPr>
          <w:p>
            <w:r>
              <w:rPr>
                <w:b/>
                <w:sz w:val="18"/>
              </w:rPr>
              <w:t>Commentary</w:t>
            </w:r>
          </w:p>
        </w:tc>
        <w:tc>
          <w:tcPr>
            <w:tcW w:type="dxa" w:w="1419"/>
            <w:vAlign w:val="center"/>
            <w:shd w:fill="FFFFFF"/>
          </w:tcPr>
          <w:p>
            <w:r>
              <w:rPr>
                <w:b/>
                <w:sz w:val="18"/>
              </w:rPr>
              <w:t>Review</w:t>
            </w:r>
          </w:p>
        </w:tc>
      </w:tr>
    </w:tbl>
    <w:p>
      <w:pPr>
        <w:pStyle w:val="Heading2"/>
      </w:pPr>
      <w:r>
        <w:t>5. Income Statement Template</w:t>
      </w:r>
    </w:p>
    <w:p>
      <w:r>
        <w:t>The income statement template presents operating performance by comparing actual results with budget and the prior reporting period. It includes revenue, cost of sales, gross profit, operating expenses, EBITDA, depreciation, EBIT, finance costs, profit before tax, tax and net profit.</w:t>
      </w:r>
    </w:p>
    <w:p>
      <w:r>
        <w:t>The template also calculates variance, variance percentage and a status indicator. Key profitability metrics include gross margin, EBITDA margin and net profit margin.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FFFFFF"/>
          </w:tcPr>
          <w:p>
            <w:r>
              <w:rPr>
                <w:sz w:val="18"/>
              </w:rPr>
              <w:t>Particular</w:t>
            </w:r>
          </w:p>
        </w:tc>
        <w:tc>
          <w:tcPr>
            <w:tcW w:type="dxa" w:w="1656"/>
            <w:vAlign w:val="center"/>
            <w:shd w:fill="FFFFFF"/>
          </w:tcPr>
          <w:p>
            <w:r>
              <w:rPr>
                <w:sz w:val="18"/>
              </w:rPr>
              <w:t>Actual</w:t>
            </w:r>
          </w:p>
        </w:tc>
        <w:tc>
          <w:tcPr>
            <w:tcW w:type="dxa" w:w="1656"/>
            <w:vAlign w:val="center"/>
            <w:shd w:fill="FFFFFF"/>
          </w:tcPr>
          <w:p>
            <w:r>
              <w:rPr>
                <w:sz w:val="18"/>
              </w:rPr>
              <w:t>Budget</w:t>
            </w:r>
          </w:p>
        </w:tc>
        <w:tc>
          <w:tcPr>
            <w:tcW w:type="dxa" w:w="1656"/>
            <w:vAlign w:val="center"/>
            <w:shd w:fill="FFFFFF"/>
          </w:tcPr>
          <w:p>
            <w:r>
              <w:rPr>
                <w:sz w:val="18"/>
              </w:rPr>
              <w:t>Prior Period</w:t>
            </w:r>
          </w:p>
        </w:tc>
        <w:tc>
          <w:tcPr>
            <w:tcW w:type="dxa" w:w="1656"/>
            <w:vAlign w:val="center"/>
            <w:shd w:fill="FFFFFF"/>
          </w:tcPr>
          <w:p>
            <w:r>
              <w:rPr>
                <w:sz w:val="18"/>
              </w:rPr>
              <w:t>Variance</w:t>
            </w:r>
          </w:p>
        </w:tc>
        <w:tc>
          <w:tcPr>
            <w:tcW w:type="dxa" w:w="1656"/>
            <w:vAlign w:val="center"/>
            <w:shd w:fill="FFFFFF"/>
          </w:tcPr>
          <w:p>
            <w:r>
              <w:rPr>
                <w:sz w:val="18"/>
              </w:rPr>
              <w:t>Variance %</w:t>
            </w:r>
          </w:p>
        </w:tc>
      </w:tr>
      <w:tr>
        <w:tc>
          <w:tcPr>
            <w:tcW w:type="dxa" w:w="1656"/>
            <w:vAlign w:val="center"/>
            <w:shd w:fill="FFFFFF"/>
          </w:tcPr>
          <w:p>
            <w:r>
              <w:rPr>
                <w:sz w:val="18"/>
              </w:rPr>
              <w:t>Revenue</w:t>
            </w:r>
          </w:p>
        </w:tc>
        <w:tc>
          <w:tcPr>
            <w:tcW w:type="dxa" w:w="1656"/>
            <w:vAlign w:val="center"/>
            <w:shd w:fill="FFFFFF"/>
          </w:tcPr>
          <w:p>
            <w:r>
              <w:rPr>
                <w:sz w:val="18"/>
              </w:rPr>
              <w:t>12,500,000</w:t>
            </w:r>
          </w:p>
        </w:tc>
        <w:tc>
          <w:tcPr>
            <w:tcW w:type="dxa" w:w="1656"/>
            <w:vAlign w:val="center"/>
            <w:shd w:fill="FFFFFF"/>
          </w:tcPr>
          <w:p>
            <w:r>
              <w:rPr>
                <w:sz w:val="18"/>
              </w:rPr>
              <w:t>11,800,000</w:t>
            </w:r>
          </w:p>
        </w:tc>
        <w:tc>
          <w:tcPr>
            <w:tcW w:type="dxa" w:w="1656"/>
            <w:vAlign w:val="center"/>
            <w:shd w:fill="FFFFFF"/>
          </w:tcPr>
          <w:p>
            <w:r>
              <w:rPr>
                <w:sz w:val="18"/>
              </w:rPr>
              <w:t>11,200,000</w:t>
            </w:r>
          </w:p>
        </w:tc>
        <w:tc>
          <w:tcPr>
            <w:tcW w:type="dxa" w:w="1656"/>
            <w:vAlign w:val="center"/>
            <w:shd w:fill="FFFFFF"/>
          </w:tcPr>
          <w:p>
            <w:r>
              <w:rPr>
                <w:sz w:val="18"/>
              </w:rPr>
              <w:t>700,000</w:t>
            </w:r>
          </w:p>
        </w:tc>
        <w:tc>
          <w:tcPr>
            <w:tcW w:type="dxa" w:w="1656"/>
            <w:vAlign w:val="center"/>
            <w:shd w:fill="FFFFFF"/>
          </w:tcPr>
          <w:p>
            <w:r>
              <w:rPr>
                <w:sz w:val="18"/>
              </w:rPr>
              <w:t>5.9%</w:t>
            </w:r>
          </w:p>
        </w:tc>
      </w:tr>
      <w:tr>
        <w:tc>
          <w:tcPr>
            <w:tcW w:type="dxa" w:w="1656"/>
            <w:vAlign w:val="center"/>
            <w:shd w:fill="FFFFFF"/>
          </w:tcPr>
          <w:p>
            <w:r>
              <w:rPr>
                <w:sz w:val="18"/>
              </w:rPr>
              <w:t>Cost of Sales</w:t>
            </w:r>
          </w:p>
        </w:tc>
        <w:tc>
          <w:tcPr>
            <w:tcW w:type="dxa" w:w="1656"/>
            <w:vAlign w:val="center"/>
            <w:shd w:fill="FFFFFF"/>
          </w:tcPr>
          <w:p>
            <w:r>
              <w:rPr>
                <w:sz w:val="18"/>
              </w:rPr>
              <w:t>7,200,000</w:t>
            </w:r>
          </w:p>
        </w:tc>
        <w:tc>
          <w:tcPr>
            <w:tcW w:type="dxa" w:w="1656"/>
            <w:vAlign w:val="center"/>
            <w:shd w:fill="FFFFFF"/>
          </w:tcPr>
          <w:p>
            <w:r>
              <w:rPr>
                <w:sz w:val="18"/>
              </w:rPr>
              <w:t>6,800,000</w:t>
            </w:r>
          </w:p>
        </w:tc>
        <w:tc>
          <w:tcPr>
            <w:tcW w:type="dxa" w:w="1656"/>
            <w:vAlign w:val="center"/>
            <w:shd w:fill="FFFFFF"/>
          </w:tcPr>
          <w:p>
            <w:r>
              <w:rPr>
                <w:sz w:val="18"/>
              </w:rPr>
              <w:t>6,500,000</w:t>
            </w:r>
          </w:p>
        </w:tc>
        <w:tc>
          <w:tcPr>
            <w:tcW w:type="dxa" w:w="1656"/>
            <w:vAlign w:val="center"/>
            <w:shd w:fill="FFFFFF"/>
          </w:tcPr>
          <w:p>
            <w:r>
              <w:rPr>
                <w:sz w:val="18"/>
              </w:rPr>
              <w:t>400,000</w:t>
            </w:r>
          </w:p>
        </w:tc>
        <w:tc>
          <w:tcPr>
            <w:tcW w:type="dxa" w:w="1656"/>
            <w:vAlign w:val="center"/>
            <w:shd w:fill="FFFFFF"/>
          </w:tcPr>
          <w:p>
            <w:r>
              <w:rPr>
                <w:sz w:val="18"/>
              </w:rPr>
              <w:t>5.9%</w:t>
            </w:r>
          </w:p>
        </w:tc>
      </w:tr>
      <w:tr>
        <w:tc>
          <w:tcPr>
            <w:tcW w:type="dxa" w:w="1656"/>
            <w:vAlign w:val="center"/>
            <w:shd w:fill="FFFFFF"/>
          </w:tcPr>
          <w:p>
            <w:r>
              <w:rPr>
                <w:sz w:val="18"/>
              </w:rPr>
              <w:t>Gross Profit</w:t>
            </w:r>
          </w:p>
        </w:tc>
        <w:tc>
          <w:tcPr>
            <w:tcW w:type="dxa" w:w="1656"/>
            <w:vAlign w:val="center"/>
            <w:shd w:fill="FFFFFF"/>
          </w:tcPr>
          <w:p>
            <w:r>
              <w:rPr>
                <w:sz w:val="18"/>
              </w:rPr>
              <w:t>5,300,000</w:t>
            </w:r>
          </w:p>
        </w:tc>
        <w:tc>
          <w:tcPr>
            <w:tcW w:type="dxa" w:w="1656"/>
            <w:vAlign w:val="center"/>
            <w:shd w:fill="FFFFFF"/>
          </w:tcPr>
          <w:p>
            <w:r>
              <w:rPr>
                <w:sz w:val="18"/>
              </w:rPr>
              <w:t>5,000,000</w:t>
            </w:r>
          </w:p>
        </w:tc>
        <w:tc>
          <w:tcPr>
            <w:tcW w:type="dxa" w:w="1656"/>
            <w:vAlign w:val="center"/>
            <w:shd w:fill="FFFFFF"/>
          </w:tcPr>
          <w:p>
            <w:r>
              <w:rPr>
                <w:sz w:val="18"/>
              </w:rPr>
              <w:t>4,700,000</w:t>
            </w:r>
          </w:p>
        </w:tc>
        <w:tc>
          <w:tcPr>
            <w:tcW w:type="dxa" w:w="1656"/>
            <w:vAlign w:val="center"/>
            <w:shd w:fill="FFFFFF"/>
          </w:tcPr>
          <w:p>
            <w:r>
              <w:rPr>
                <w:sz w:val="18"/>
              </w:rPr>
              <w:t>300,000</w:t>
            </w:r>
          </w:p>
        </w:tc>
        <w:tc>
          <w:tcPr>
            <w:tcW w:type="dxa" w:w="1656"/>
            <w:vAlign w:val="center"/>
            <w:shd w:fill="FFFFFF"/>
          </w:tcPr>
          <w:p>
            <w:r>
              <w:rPr>
                <w:sz w:val="18"/>
              </w:rPr>
              <w:t>6.0%</w:t>
            </w:r>
          </w:p>
        </w:tc>
      </w:tr>
      <w:tr>
        <w:tc>
          <w:tcPr>
            <w:tcW w:type="dxa" w:w="1656"/>
            <w:vAlign w:val="center"/>
            <w:shd w:fill="FFFFFF"/>
          </w:tcPr>
          <w:p>
            <w:r>
              <w:rPr>
                <w:sz w:val="18"/>
              </w:rPr>
              <w:t>Net Profit</w:t>
            </w:r>
          </w:p>
        </w:tc>
        <w:tc>
          <w:tcPr>
            <w:tcW w:type="dxa" w:w="1656"/>
            <w:vAlign w:val="center"/>
            <w:shd w:fill="FFFFFF"/>
          </w:tcPr>
          <w:p>
            <w:r>
              <w:rPr>
                <w:sz w:val="18"/>
              </w:rPr>
              <w:t>2,402,000</w:t>
            </w:r>
          </w:p>
        </w:tc>
        <w:tc>
          <w:tcPr>
            <w:tcW w:type="dxa" w:w="1656"/>
            <w:vAlign w:val="center"/>
            <w:shd w:fill="FFFFFF"/>
          </w:tcPr>
          <w:p>
            <w:r>
              <w:rPr>
                <w:sz w:val="18"/>
              </w:rPr>
              <w:t>2,000,000</w:t>
            </w:r>
          </w:p>
        </w:tc>
        <w:tc>
          <w:tcPr>
            <w:tcW w:type="dxa" w:w="1656"/>
            <w:vAlign w:val="center"/>
            <w:shd w:fill="FFFFFF"/>
          </w:tcPr>
          <w:p>
            <w:r>
              <w:rPr>
                <w:sz w:val="18"/>
              </w:rPr>
              <w:t>1,960,000</w:t>
            </w:r>
          </w:p>
        </w:tc>
        <w:tc>
          <w:tcPr>
            <w:tcW w:type="dxa" w:w="1656"/>
            <w:vAlign w:val="center"/>
            <w:shd w:fill="FFFFFF"/>
          </w:tcPr>
          <w:p>
            <w:r>
              <w:rPr>
                <w:sz w:val="18"/>
              </w:rPr>
              <w:t>402,000</w:t>
            </w:r>
          </w:p>
        </w:tc>
        <w:tc>
          <w:tcPr>
            <w:tcW w:type="dxa" w:w="1656"/>
            <w:vAlign w:val="center"/>
            <w:shd w:fill="FFFFFF"/>
          </w:tcPr>
          <w:p>
            <w:r>
              <w:rPr>
                <w:sz w:val="18"/>
              </w:rPr>
              <w:t>20.1%</w:t>
            </w:r>
          </w:p>
        </w:tc>
      </w:tr>
    </w:tbl>
    <w:p>
      <w:r>
        <w:t>Design rationale: the highest-level performance information is placed first, followed by progressively lower levels of profitability. Comparison columns are positioned immediately beside actual results so the analyst can identify movements without switching sections.</w:t>
      </w:r>
    </w:p>
    <w:p>
      <w:pPr>
        <w:pStyle w:val="Heading2"/>
      </w:pPr>
      <w:r>
        <w:t>6. Balance Sheet Template</w:t>
      </w:r>
    </w:p>
    <w:p>
      <w:r>
        <w:t>The balance sheet template groups information into non-current assets, current assets, equity, non-current liabilities and current liabilities. It calculates total assets and total equity and liabilities and includes a balance check.</w:t>
      </w:r>
    </w:p>
    <w:p>
      <w:r>
        <w:t>The balance check is an important control because the accounting equation must hold: Total Assets = Total Equity + Total Liabilities.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FFFFFF"/>
          </w:tcPr>
          <w:p>
            <w:r>
              <w:rPr>
                <w:sz w:val="18"/>
              </w:rPr>
              <w:t>Category</w:t>
            </w:r>
          </w:p>
        </w:tc>
        <w:tc>
          <w:tcPr>
            <w:tcW w:type="dxa" w:w="3312"/>
            <w:vAlign w:val="center"/>
            <w:shd w:fill="FFFFFF"/>
          </w:tcPr>
          <w:p>
            <w:r>
              <w:rPr>
                <w:sz w:val="18"/>
              </w:rPr>
              <w:t>FY2026</w:t>
            </w:r>
          </w:p>
        </w:tc>
        <w:tc>
          <w:tcPr>
            <w:tcW w:type="dxa" w:w="3312"/>
            <w:vAlign w:val="center"/>
            <w:shd w:fill="FFFFFF"/>
          </w:tcPr>
          <w:p>
            <w:r>
              <w:rPr>
                <w:sz w:val="18"/>
              </w:rPr>
              <w:t>FY2025</w:t>
            </w:r>
          </w:p>
        </w:tc>
      </w:tr>
      <w:tr>
        <w:tc>
          <w:tcPr>
            <w:tcW w:type="dxa" w:w="3312"/>
            <w:vAlign w:val="center"/>
            <w:shd w:fill="FFFFFF"/>
          </w:tcPr>
          <w:p>
            <w:r>
              <w:rPr>
                <w:sz w:val="18"/>
              </w:rPr>
              <w:t>Property, Plant &amp; Equipment</w:t>
            </w:r>
          </w:p>
        </w:tc>
        <w:tc>
          <w:tcPr>
            <w:tcW w:type="dxa" w:w="3312"/>
            <w:vAlign w:val="center"/>
            <w:shd w:fill="FFFFFF"/>
          </w:tcPr>
          <w:p>
            <w:r>
              <w:rPr>
                <w:sz w:val="18"/>
              </w:rPr>
              <w:t>8,200,000</w:t>
            </w:r>
          </w:p>
        </w:tc>
        <w:tc>
          <w:tcPr>
            <w:tcW w:type="dxa" w:w="3312"/>
            <w:vAlign w:val="center"/>
            <w:shd w:fill="FFFFFF"/>
          </w:tcPr>
          <w:p>
            <w:r>
              <w:rPr>
                <w:sz w:val="18"/>
              </w:rPr>
              <w:t>7,600,000</w:t>
            </w:r>
          </w:p>
        </w:tc>
      </w:tr>
      <w:tr>
        <w:tc>
          <w:tcPr>
            <w:tcW w:type="dxa" w:w="3312"/>
            <w:vAlign w:val="center"/>
            <w:shd w:fill="FFFFFF"/>
          </w:tcPr>
          <w:p>
            <w:r>
              <w:rPr>
                <w:sz w:val="18"/>
              </w:rPr>
              <w:t>Inventory</w:t>
            </w:r>
          </w:p>
        </w:tc>
        <w:tc>
          <w:tcPr>
            <w:tcW w:type="dxa" w:w="3312"/>
            <w:vAlign w:val="center"/>
            <w:shd w:fill="FFFFFF"/>
          </w:tcPr>
          <w:p>
            <w:r>
              <w:rPr>
                <w:sz w:val="18"/>
              </w:rPr>
              <w:t>2,800,000</w:t>
            </w:r>
          </w:p>
        </w:tc>
        <w:tc>
          <w:tcPr>
            <w:tcW w:type="dxa" w:w="3312"/>
            <w:vAlign w:val="center"/>
            <w:shd w:fill="FFFFFF"/>
          </w:tcPr>
          <w:p>
            <w:r>
              <w:rPr>
                <w:sz w:val="18"/>
              </w:rPr>
              <w:t>2,500,000</w:t>
            </w:r>
          </w:p>
        </w:tc>
      </w:tr>
      <w:tr>
        <w:tc>
          <w:tcPr>
            <w:tcW w:type="dxa" w:w="3312"/>
            <w:vAlign w:val="center"/>
            <w:shd w:fill="FFFFFF"/>
          </w:tcPr>
          <w:p>
            <w:r>
              <w:rPr>
                <w:sz w:val="18"/>
              </w:rPr>
              <w:t>Trade Receivables</w:t>
            </w:r>
          </w:p>
        </w:tc>
        <w:tc>
          <w:tcPr>
            <w:tcW w:type="dxa" w:w="3312"/>
            <w:vAlign w:val="center"/>
            <w:shd w:fill="FFFFFF"/>
          </w:tcPr>
          <w:p>
            <w:r>
              <w:rPr>
                <w:sz w:val="18"/>
              </w:rPr>
              <w:t>3,200,000</w:t>
            </w:r>
          </w:p>
        </w:tc>
        <w:tc>
          <w:tcPr>
            <w:tcW w:type="dxa" w:w="3312"/>
            <w:vAlign w:val="center"/>
            <w:shd w:fill="FFFFFF"/>
          </w:tcPr>
          <w:p>
            <w:r>
              <w:rPr>
                <w:sz w:val="18"/>
              </w:rPr>
              <w:t>2,900,000</w:t>
            </w:r>
          </w:p>
        </w:tc>
      </w:tr>
      <w:tr>
        <w:tc>
          <w:tcPr>
            <w:tcW w:type="dxa" w:w="3312"/>
            <w:vAlign w:val="center"/>
            <w:shd w:fill="FFFFFF"/>
          </w:tcPr>
          <w:p>
            <w:r>
              <w:rPr>
                <w:sz w:val="18"/>
              </w:rPr>
              <w:t>Cash &amp; Cash Equivalents</w:t>
            </w:r>
          </w:p>
        </w:tc>
        <w:tc>
          <w:tcPr>
            <w:tcW w:type="dxa" w:w="3312"/>
            <w:vAlign w:val="center"/>
            <w:shd w:fill="FFFFFF"/>
          </w:tcPr>
          <w:p>
            <w:r>
              <w:rPr>
                <w:sz w:val="18"/>
              </w:rPr>
              <w:t>4,100,000</w:t>
            </w:r>
          </w:p>
        </w:tc>
        <w:tc>
          <w:tcPr>
            <w:tcW w:type="dxa" w:w="3312"/>
            <w:vAlign w:val="center"/>
            <w:shd w:fill="FFFFFF"/>
          </w:tcPr>
          <w:p>
            <w:r>
              <w:rPr>
                <w:sz w:val="18"/>
              </w:rPr>
              <w:t>3,500,000</w:t>
            </w:r>
          </w:p>
        </w:tc>
      </w:tr>
      <w:tr>
        <w:tc>
          <w:tcPr>
            <w:tcW w:type="dxa" w:w="3312"/>
            <w:vAlign w:val="center"/>
            <w:shd w:fill="FFFFFF"/>
          </w:tcPr>
          <w:p>
            <w:r>
              <w:rPr>
                <w:sz w:val="18"/>
              </w:rPr>
              <w:t>Share Capital</w:t>
            </w:r>
          </w:p>
        </w:tc>
        <w:tc>
          <w:tcPr>
            <w:tcW w:type="dxa" w:w="3312"/>
            <w:vAlign w:val="center"/>
            <w:shd w:fill="FFFFFF"/>
          </w:tcPr>
          <w:p>
            <w:r>
              <w:rPr>
                <w:sz w:val="18"/>
              </w:rPr>
              <w:t>5,000,000</w:t>
            </w:r>
          </w:p>
        </w:tc>
        <w:tc>
          <w:tcPr>
            <w:tcW w:type="dxa" w:w="3312"/>
            <w:vAlign w:val="center"/>
            <w:shd w:fill="FFFFFF"/>
          </w:tcPr>
          <w:p>
            <w:r>
              <w:rPr>
                <w:sz w:val="18"/>
              </w:rPr>
              <w:t>5,000,000</w:t>
            </w:r>
          </w:p>
        </w:tc>
      </w:tr>
      <w:tr>
        <w:tc>
          <w:tcPr>
            <w:tcW w:type="dxa" w:w="3312"/>
            <w:vAlign w:val="center"/>
            <w:shd w:fill="FFFFFF"/>
          </w:tcPr>
          <w:p>
            <w:r>
              <w:rPr>
                <w:sz w:val="18"/>
              </w:rPr>
              <w:t>Retained Earnings</w:t>
            </w:r>
          </w:p>
        </w:tc>
        <w:tc>
          <w:tcPr>
            <w:tcW w:type="dxa" w:w="3312"/>
            <w:vAlign w:val="center"/>
            <w:shd w:fill="FFFFFF"/>
          </w:tcPr>
          <w:p>
            <w:r>
              <w:rPr>
                <w:sz w:val="18"/>
              </w:rPr>
              <w:t>6,700,000</w:t>
            </w:r>
          </w:p>
        </w:tc>
        <w:tc>
          <w:tcPr>
            <w:tcW w:type="dxa" w:w="3312"/>
            <w:vAlign w:val="center"/>
            <w:shd w:fill="FFFFFF"/>
          </w:tcPr>
          <w:p>
            <w:r>
              <w:rPr>
                <w:sz w:val="18"/>
              </w:rPr>
              <w:t>5,900,000</w:t>
            </w:r>
          </w:p>
        </w:tc>
      </w:tr>
    </w:tbl>
    <w:p>
      <w:pPr>
        <w:pStyle w:val="Heading2"/>
      </w:pPr>
      <w:r>
        <w:t>7. Cash Flow Statement Template</w:t>
      </w:r>
    </w:p>
    <w:p>
      <w:r>
        <w:t>The cash flow template separates movements into operating, investing and financing activities. This classification makes it easier for management to understand whether cash is being generated from core operations, invested in long-term assets, or affected by financing decisions.</w:t>
      </w:r>
    </w:p>
    <w:p>
      <w:r>
        <w:t>The template includes opening cash, net change in cash and closing cash. A reconciliation relationship is maintained so the closing balance can be traced from the opening balance plus the period movement.</w:t>
      </w:r>
    </w:p>
    <w:p>
      <w:pPr>
        <w:pStyle w:val="Heading2"/>
      </w:pPr>
      <w:r>
        <w:t>8. Variance Analysis Template</w:t>
      </w:r>
    </w:p>
    <w:p>
      <w:r>
        <w:t>The variance analysis template converts financial statement data into management-oriented information. It compares actual results with budget and prior-period results, calculates absolute and percentage variances, and provides a status field and management commentary.</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FFFFFF"/>
          </w:tcPr>
          <w:p>
            <w:r>
              <w:rPr>
                <w:sz w:val="18"/>
              </w:rPr>
              <w:t>Metric</w:t>
            </w:r>
          </w:p>
        </w:tc>
        <w:tc>
          <w:tcPr>
            <w:tcW w:type="dxa" w:w="1656"/>
            <w:vAlign w:val="center"/>
            <w:shd w:fill="FFFFFF"/>
          </w:tcPr>
          <w:p>
            <w:r>
              <w:rPr>
                <w:sz w:val="18"/>
              </w:rPr>
              <w:t>Actual</w:t>
            </w:r>
          </w:p>
        </w:tc>
        <w:tc>
          <w:tcPr>
            <w:tcW w:type="dxa" w:w="1656"/>
            <w:vAlign w:val="center"/>
            <w:shd w:fill="FFFFFF"/>
          </w:tcPr>
          <w:p>
            <w:r>
              <w:rPr>
                <w:sz w:val="18"/>
              </w:rPr>
              <w:t>Budget</w:t>
            </w:r>
          </w:p>
        </w:tc>
        <w:tc>
          <w:tcPr>
            <w:tcW w:type="dxa" w:w="1656"/>
            <w:vAlign w:val="center"/>
            <w:shd w:fill="FFFFFF"/>
          </w:tcPr>
          <w:p>
            <w:r>
              <w:rPr>
                <w:sz w:val="18"/>
              </w:rPr>
              <w:t>Variance</w:t>
            </w:r>
          </w:p>
        </w:tc>
        <w:tc>
          <w:tcPr>
            <w:tcW w:type="dxa" w:w="1656"/>
            <w:vAlign w:val="center"/>
            <w:shd w:fill="FFFFFF"/>
          </w:tcPr>
          <w:p>
            <w:r>
              <w:rPr>
                <w:sz w:val="18"/>
              </w:rPr>
              <w:t>Variance %</w:t>
            </w:r>
          </w:p>
        </w:tc>
        <w:tc>
          <w:tcPr>
            <w:tcW w:type="dxa" w:w="1656"/>
            <w:vAlign w:val="center"/>
            <w:shd w:fill="FFFFFF"/>
          </w:tcPr>
          <w:p>
            <w:r>
              <w:rPr>
                <w:sz w:val="18"/>
              </w:rPr>
              <w:t>Status</w:t>
            </w:r>
          </w:p>
        </w:tc>
      </w:tr>
      <w:tr>
        <w:tc>
          <w:tcPr>
            <w:tcW w:type="dxa" w:w="1656"/>
            <w:vAlign w:val="center"/>
            <w:shd w:fill="FFFFFF"/>
          </w:tcPr>
          <w:p>
            <w:r>
              <w:rPr>
                <w:sz w:val="18"/>
              </w:rPr>
              <w:t>Revenue</w:t>
            </w:r>
          </w:p>
        </w:tc>
        <w:tc>
          <w:tcPr>
            <w:tcW w:type="dxa" w:w="1656"/>
            <w:vAlign w:val="center"/>
            <w:shd w:fill="FFFFFF"/>
          </w:tcPr>
          <w:p>
            <w:r>
              <w:rPr>
                <w:sz w:val="18"/>
              </w:rPr>
              <w:t>12.50m</w:t>
            </w:r>
          </w:p>
        </w:tc>
        <w:tc>
          <w:tcPr>
            <w:tcW w:type="dxa" w:w="1656"/>
            <w:vAlign w:val="center"/>
            <w:shd w:fill="FFFFFF"/>
          </w:tcPr>
          <w:p>
            <w:r>
              <w:rPr>
                <w:sz w:val="18"/>
              </w:rPr>
              <w:t>11.80m</w:t>
            </w:r>
          </w:p>
        </w:tc>
        <w:tc>
          <w:tcPr>
            <w:tcW w:type="dxa" w:w="1656"/>
            <w:vAlign w:val="center"/>
            <w:shd w:fill="FFFFFF"/>
          </w:tcPr>
          <w:p>
            <w:r>
              <w:rPr>
                <w:sz w:val="18"/>
              </w:rPr>
              <w:t>+0.70m</w:t>
            </w:r>
          </w:p>
        </w:tc>
        <w:tc>
          <w:tcPr>
            <w:tcW w:type="dxa" w:w="1656"/>
            <w:vAlign w:val="center"/>
            <w:shd w:fill="FFFFFF"/>
          </w:tcPr>
          <w:p>
            <w:r>
              <w:rPr>
                <w:sz w:val="18"/>
              </w:rPr>
              <w:t>5.9%</w:t>
            </w:r>
          </w:p>
        </w:tc>
        <w:tc>
          <w:tcPr>
            <w:tcW w:type="dxa" w:w="1656"/>
            <w:vAlign w:val="center"/>
            <w:shd w:fill="FFFFFF"/>
          </w:tcPr>
          <w:p>
            <w:r>
              <w:rPr>
                <w:sz w:val="18"/>
              </w:rPr>
              <w:t>Favourable</w:t>
            </w:r>
          </w:p>
        </w:tc>
      </w:tr>
      <w:tr>
        <w:tc>
          <w:tcPr>
            <w:tcW w:type="dxa" w:w="1656"/>
            <w:vAlign w:val="center"/>
            <w:shd w:fill="FFFFFF"/>
          </w:tcPr>
          <w:p>
            <w:r>
              <w:rPr>
                <w:sz w:val="18"/>
              </w:rPr>
              <w:t>Cost of Sales</w:t>
            </w:r>
          </w:p>
        </w:tc>
        <w:tc>
          <w:tcPr>
            <w:tcW w:type="dxa" w:w="1656"/>
            <w:vAlign w:val="center"/>
            <w:shd w:fill="FFFFFF"/>
          </w:tcPr>
          <w:p>
            <w:r>
              <w:rPr>
                <w:sz w:val="18"/>
              </w:rPr>
              <w:t>7.20m</w:t>
            </w:r>
          </w:p>
        </w:tc>
        <w:tc>
          <w:tcPr>
            <w:tcW w:type="dxa" w:w="1656"/>
            <w:vAlign w:val="center"/>
            <w:shd w:fill="FFFFFF"/>
          </w:tcPr>
          <w:p>
            <w:r>
              <w:rPr>
                <w:sz w:val="18"/>
              </w:rPr>
              <w:t>6.80m</w:t>
            </w:r>
          </w:p>
        </w:tc>
        <w:tc>
          <w:tcPr>
            <w:tcW w:type="dxa" w:w="1656"/>
            <w:vAlign w:val="center"/>
            <w:shd w:fill="FFFFFF"/>
          </w:tcPr>
          <w:p>
            <w:r>
              <w:rPr>
                <w:sz w:val="18"/>
              </w:rPr>
              <w:t>+0.40m</w:t>
            </w:r>
          </w:p>
        </w:tc>
        <w:tc>
          <w:tcPr>
            <w:tcW w:type="dxa" w:w="1656"/>
            <w:vAlign w:val="center"/>
            <w:shd w:fill="FFFFFF"/>
          </w:tcPr>
          <w:p>
            <w:r>
              <w:rPr>
                <w:sz w:val="18"/>
              </w:rPr>
              <w:t>5.9%</w:t>
            </w:r>
          </w:p>
        </w:tc>
        <w:tc>
          <w:tcPr>
            <w:tcW w:type="dxa" w:w="1656"/>
            <w:vAlign w:val="center"/>
            <w:shd w:fill="FFFFFF"/>
          </w:tcPr>
          <w:p>
            <w:r>
              <w:rPr>
                <w:sz w:val="18"/>
              </w:rPr>
              <w:t>Unfavourable</w:t>
            </w:r>
          </w:p>
        </w:tc>
      </w:tr>
      <w:tr>
        <w:tc>
          <w:tcPr>
            <w:tcW w:type="dxa" w:w="1656"/>
            <w:vAlign w:val="center"/>
            <w:shd w:fill="FFFFFF"/>
          </w:tcPr>
          <w:p>
            <w:r>
              <w:rPr>
                <w:sz w:val="18"/>
              </w:rPr>
              <w:t>Operating Expenses</w:t>
            </w:r>
          </w:p>
        </w:tc>
        <w:tc>
          <w:tcPr>
            <w:tcW w:type="dxa" w:w="1656"/>
            <w:vAlign w:val="center"/>
            <w:shd w:fill="FFFFFF"/>
          </w:tcPr>
          <w:p>
            <w:r>
              <w:rPr>
                <w:sz w:val="18"/>
              </w:rPr>
              <w:t>2.10m</w:t>
            </w:r>
          </w:p>
        </w:tc>
        <w:tc>
          <w:tcPr>
            <w:tcW w:type="dxa" w:w="1656"/>
            <w:vAlign w:val="center"/>
            <w:shd w:fill="FFFFFF"/>
          </w:tcPr>
          <w:p>
            <w:r>
              <w:rPr>
                <w:sz w:val="18"/>
              </w:rPr>
              <w:t>2.30m</w:t>
            </w:r>
          </w:p>
        </w:tc>
        <w:tc>
          <w:tcPr>
            <w:tcW w:type="dxa" w:w="1656"/>
            <w:vAlign w:val="center"/>
            <w:shd w:fill="FFFFFF"/>
          </w:tcPr>
          <w:p>
            <w:r>
              <w:rPr>
                <w:sz w:val="18"/>
              </w:rPr>
              <w:t>-0.20m</w:t>
            </w:r>
          </w:p>
        </w:tc>
        <w:tc>
          <w:tcPr>
            <w:tcW w:type="dxa" w:w="1656"/>
            <w:vAlign w:val="center"/>
            <w:shd w:fill="FFFFFF"/>
          </w:tcPr>
          <w:p>
            <w:r>
              <w:rPr>
                <w:sz w:val="18"/>
              </w:rPr>
              <w:t>-8.7%</w:t>
            </w:r>
          </w:p>
        </w:tc>
        <w:tc>
          <w:tcPr>
            <w:tcW w:type="dxa" w:w="1656"/>
            <w:vAlign w:val="center"/>
            <w:shd w:fill="FFFFFF"/>
          </w:tcPr>
          <w:p>
            <w:r>
              <w:rPr>
                <w:sz w:val="18"/>
              </w:rPr>
              <w:t>Favourable</w:t>
            </w:r>
          </w:p>
        </w:tc>
      </w:tr>
      <w:tr>
        <w:tc>
          <w:tcPr>
            <w:tcW w:type="dxa" w:w="1656"/>
            <w:vAlign w:val="center"/>
            <w:shd w:fill="FFFFFF"/>
          </w:tcPr>
          <w:p>
            <w:r>
              <w:rPr>
                <w:sz w:val="18"/>
              </w:rPr>
              <w:t>Net Profit</w:t>
            </w:r>
          </w:p>
        </w:tc>
        <w:tc>
          <w:tcPr>
            <w:tcW w:type="dxa" w:w="1656"/>
            <w:vAlign w:val="center"/>
            <w:shd w:fill="FFFFFF"/>
          </w:tcPr>
          <w:p>
            <w:r>
              <w:rPr>
                <w:sz w:val="18"/>
              </w:rPr>
              <w:t>2.40m</w:t>
            </w:r>
          </w:p>
        </w:tc>
        <w:tc>
          <w:tcPr>
            <w:tcW w:type="dxa" w:w="1656"/>
            <w:vAlign w:val="center"/>
            <w:shd w:fill="FFFFFF"/>
          </w:tcPr>
          <w:p>
            <w:r>
              <w:rPr>
                <w:sz w:val="18"/>
              </w:rPr>
              <w:t>2.00m</w:t>
            </w:r>
          </w:p>
        </w:tc>
        <w:tc>
          <w:tcPr>
            <w:tcW w:type="dxa" w:w="1656"/>
            <w:vAlign w:val="center"/>
            <w:shd w:fill="FFFFFF"/>
          </w:tcPr>
          <w:p>
            <w:r>
              <w:rPr>
                <w:sz w:val="18"/>
              </w:rPr>
              <w:t>+0.40m</w:t>
            </w:r>
          </w:p>
        </w:tc>
        <w:tc>
          <w:tcPr>
            <w:tcW w:type="dxa" w:w="1656"/>
            <w:vAlign w:val="center"/>
            <w:shd w:fill="FFFFFF"/>
          </w:tcPr>
          <w:p>
            <w:r>
              <w:rPr>
                <w:sz w:val="18"/>
              </w:rPr>
              <w:t>20.0%</w:t>
            </w:r>
          </w:p>
        </w:tc>
        <w:tc>
          <w:tcPr>
            <w:tcW w:type="dxa" w:w="1656"/>
            <w:vAlign w:val="center"/>
            <w:shd w:fill="FFFFFF"/>
          </w:tcPr>
          <w:p>
            <w:r>
              <w:rPr>
                <w:sz w:val="18"/>
              </w:rPr>
              <w:t>Favourable</w:t>
            </w:r>
          </w:p>
        </w:tc>
      </w:tr>
    </w:tbl>
    <w:p>
      <w:r>
        <w:t>A 5% materiality threshold is included as analyst guidance. Variances exceeding the threshold should be investigated and supported by a clear business explanation.</w:t>
      </w:r>
    </w:p>
    <w:p>
      <w:pPr>
        <w:pStyle w:val="Heading1"/>
      </w:pPr>
      <w:r>
        <w:t>9. Design Rationale</w:t>
      </w:r>
    </w:p>
    <w:p>
      <w:pPr>
        <w:pStyle w:val="Heading2"/>
      </w:pPr>
      <w:r>
        <w:t>9.1 Headers and Reporting Information</w:t>
      </w:r>
    </w:p>
    <w:p>
      <w:r>
        <w:t>The header is placed at the top of each report to establish the reporting entity, report type, reporting period, currency and preparer information. This is especially important when individual reports are exported, printed or circulated separately.</w:t>
      </w:r>
    </w:p>
    <w:p>
      <w:pPr>
        <w:pStyle w:val="Heading2"/>
      </w:pPr>
      <w:r>
        <w:t>9.2 Data Input Areas</w:t>
      </w:r>
    </w:p>
    <w:p>
      <w:r>
        <w:t>Input areas are separated from calculated outputs to reduce accidental overwriting of formulas. This supports a controlled reporting process in which source information is entered first and derived information is calculated automatically.</w:t>
      </w:r>
    </w:p>
    <w:p>
      <w:pPr>
        <w:pStyle w:val="Heading2"/>
      </w:pPr>
      <w:r>
        <w:t>9.3 Summary and KPI Sections</w:t>
      </w:r>
    </w:p>
    <w:p>
      <w:r>
        <w:t>Summary metrics are positioned after the core financial information because users first need the underlying figures before interpreting the resulting performance indicators.</w:t>
      </w:r>
    </w:p>
    <w:p>
      <w:pPr>
        <w:pStyle w:val="Heading2"/>
      </w:pPr>
      <w:r>
        <w:t>9.4 Variance and Commentary Areas</w:t>
      </w:r>
    </w:p>
    <w:p>
      <w:r>
        <w:t>Variance information is positioned beside the relevant financial values so that movements can be identified quickly. Commentary is placed alongside the analysis to encourage the analyst to explain the business reason behind significant movements rather than merely reporting numerical differences.</w:t>
      </w:r>
    </w:p>
    <w:p>
      <w:pPr>
        <w:pStyle w:val="Heading2"/>
      </w:pPr>
      <w:r>
        <w:t>9.5 Review and Control Fields</w:t>
      </w:r>
    </w:p>
    <w:p>
      <w:r>
        <w:t>Control fields and review indicators support a preparer-reviewer workflow. Examples include balance checks, variance thresholds and management commentary fields.</w:t>
      </w:r>
    </w:p>
    <w:p>
      <w:pPr>
        <w:pStyle w:val="Heading1"/>
      </w:pPr>
      <w:r>
        <w:t>10. Consistency and Clarity</w:t>
      </w:r>
    </w:p>
    <w:p>
      <w:pPr>
        <w:pStyle w:val="ListBullet"/>
      </w:pPr>
      <w:r>
        <w:t>Consistent report titles and section headings.</w:t>
      </w:r>
    </w:p>
    <w:p>
      <w:pPr>
        <w:pStyle w:val="ListBullet"/>
      </w:pPr>
      <w:r>
        <w:t>Consistent currency and percentage formatting.</w:t>
      </w:r>
    </w:p>
    <w:p>
      <w:pPr>
        <w:pStyle w:val="ListBullet"/>
      </w:pPr>
      <w:r>
        <w:t>Consistent ordering of financial statement categories.</w:t>
      </w:r>
    </w:p>
    <w:p>
      <w:pPr>
        <w:pStyle w:val="ListBullet"/>
      </w:pPr>
      <w:r>
        <w:t>Standardised Actual, Budget and Prior Period comparisons.</w:t>
      </w:r>
    </w:p>
    <w:p>
      <w:pPr>
        <w:pStyle w:val="ListBullet"/>
      </w:pPr>
      <w:r>
        <w:t>Clear separation of inputs, calculations and commentary.</w:t>
      </w:r>
    </w:p>
    <w:p>
      <w:pPr>
        <w:pStyle w:val="ListBullet"/>
      </w:pPr>
      <w:r>
        <w:t>Use of control checks and validation indicators.</w:t>
      </w:r>
    </w:p>
    <w:p>
      <w:pPr>
        <w:pStyle w:val="ListBullet"/>
      </w:pPr>
      <w:r>
        <w:t>Adaptable reporting periods without changing the core structure.</w:t>
      </w:r>
    </w:p>
    <w:p>
      <w:r>
        <w:t>Consistency reduces cognitive load for recurring users and makes it easier for finance managers to review multiple reports. Clarity also improves communication with non-finance stakeholders.</w:t>
      </w:r>
    </w:p>
    <w:p>
      <w:pPr>
        <w:pStyle w:val="Heading1"/>
      </w:pPr>
      <w:r>
        <w:t>11. Reporting Workflow</w:t>
      </w:r>
    </w:p>
    <w:p>
      <w:r>
        <w:t>The templates support the following recurring workflow:</w:t>
      </w:r>
    </w:p>
    <w:p>
      <w:pPr>
        <w:pStyle w:val="ListNumber"/>
      </w:pPr>
      <w:r>
        <w:t>Collect source financial data</w:t>
      </w:r>
    </w:p>
    <w:p>
      <w:pPr>
        <w:pStyle w:val="ListNumber"/>
      </w:pPr>
      <w:r>
        <w:t>Validate and reconcile source information</w:t>
      </w:r>
    </w:p>
    <w:p>
      <w:pPr>
        <w:pStyle w:val="ListNumber"/>
      </w:pPr>
      <w:r>
        <w:t>Populate the reporting template</w:t>
      </w:r>
    </w:p>
    <w:p>
      <w:pPr>
        <w:pStyle w:val="ListNumber"/>
      </w:pPr>
      <w:r>
        <w:t>Review automated calculations</w:t>
      </w:r>
    </w:p>
    <w:p>
      <w:pPr>
        <w:pStyle w:val="ListNumber"/>
      </w:pPr>
      <w:r>
        <w:t>Calculate and investigate material variances</w:t>
      </w:r>
    </w:p>
    <w:p>
      <w:pPr>
        <w:pStyle w:val="ListNumber"/>
      </w:pPr>
      <w:r>
        <w:t>Prepare management commentary</w:t>
      </w:r>
    </w:p>
    <w:p>
      <w:pPr>
        <w:pStyle w:val="ListNumber"/>
      </w:pPr>
      <w:r>
        <w:t>Perform reviewer checks</w:t>
      </w:r>
    </w:p>
    <w:p>
      <w:pPr>
        <w:pStyle w:val="ListNumber"/>
      </w:pPr>
      <w:r>
        <w:t>Finalise and distribute the report</w:t>
      </w:r>
    </w:p>
    <w:p>
      <w:pPr>
        <w:pStyle w:val="Heading1"/>
      </w:pPr>
      <w:r>
        <w:t>12. Decision-Making Benefits</w:t>
      </w:r>
    </w:p>
    <w:p>
      <w:pPr>
        <w:pStyle w:val="ListBullet"/>
      </w:pPr>
      <w:r>
        <w:t>Revenue trends can be identified through actual-versus-budget and prior-period comparisons.</w:t>
      </w:r>
    </w:p>
    <w:p>
      <w:pPr>
        <w:pStyle w:val="ListBullet"/>
      </w:pPr>
      <w:r>
        <w:t>Cost overruns can be isolated and investigated.</w:t>
      </w:r>
    </w:p>
    <w:p>
      <w:pPr>
        <w:pStyle w:val="ListBullet"/>
      </w:pPr>
      <w:r>
        <w:t>Profitability margins provide a concise view of operating performance.</w:t>
      </w:r>
    </w:p>
    <w:p>
      <w:pPr>
        <w:pStyle w:val="ListBullet"/>
      </w:pPr>
      <w:r>
        <w:t>Cash-flow reporting helps identify liquidity pressures and financing needs.</w:t>
      </w:r>
    </w:p>
    <w:p>
      <w:pPr>
        <w:pStyle w:val="ListBullet"/>
      </w:pPr>
      <w:r>
        <w:t>Balance-sheet movements highlight changes in working capital and funding structure.</w:t>
      </w:r>
    </w:p>
    <w:p>
      <w:pPr>
        <w:pStyle w:val="ListBullet"/>
      </w:pPr>
      <w:r>
        <w:t>Variance commentary provides management with context rather than numbers alone.</w:t>
      </w:r>
    </w:p>
    <w:p>
      <w:pPr>
        <w:pStyle w:val="ListBullet"/>
      </w:pPr>
      <w:r>
        <w:t>Standardised reporting allows management to compare performance consistently across periods.</w:t>
      </w:r>
    </w:p>
    <w:p>
      <w:pPr>
        <w:pStyle w:val="Heading1"/>
      </w:pPr>
      <w:r>
        <w:t>13. Quality Control and Error Prevention</w:t>
      </w:r>
    </w:p>
    <w:p>
      <w:r>
        <w:t>A junior financial analyst should not rely solely on visual inspection. The templates therefore incorporate basic control concepts such as balance-sheet equation checks, formula-driven totals, variance calculations, percentage calculations and materiality thresholds.</w:t>
      </w:r>
    </w:p>
    <w:p>
      <w:r>
        <w:t>Before submission of a recurring report, the analyst should confirm that source data is complete, formulas have not been overwritten, the balance sheet balances, cash movements reconcile, significant variances have explanations, and the report period and currency are correct.</w:t>
      </w:r>
    </w:p>
    <w:p>
      <w:pPr>
        <w:pStyle w:val="Heading1"/>
      </w:pPr>
      <w:r>
        <w:t>14. Example Management Commentary</w:t>
      </w:r>
    </w:p>
    <w:p>
      <w:r>
        <w:t>Revenue was above budget, primarily reflecting stronger sales volume. Cost of sales also exceeded budget, indicating input-cost pressure that should be monitored. Operating expenses were below budget, partly offsetting the higher cost base. Overall, the improvement in operating performance resulted in net profit exceeding budget.</w:t>
      </w:r>
    </w:p>
    <w:p>
      <w:r>
        <w:t>The purpose of commentary is not to repeat the numbers. It is to explain the underlying business driver, identify whether the movement is favourable or unfavourable, and indicate whether further investigation is required.</w:t>
      </w:r>
    </w:p>
    <w:p>
      <w:pPr>
        <w:pStyle w:val="Heading1"/>
      </w:pPr>
      <w:r>
        <w:t>15. Adaptability and Modular Design</w:t>
      </w:r>
    </w:p>
    <w:p>
      <w:r>
        <w:t>The templates are modular because individual sections can be expanded, removed or renamed without changing the overall reporting architecture. For example, a service company could replace inventory and cost-of-goods sections with labour and project-cost measures, while a retail company could add store-level KPIs.</w:t>
      </w:r>
    </w:p>
    <w:p>
      <w:r>
        <w:t>The same reporting framework can therefore support different entities, reporting periods and management requirements while maintaining a consistent presentation.</w:t>
      </w:r>
    </w:p>
    <w:p>
      <w:pPr>
        <w:pStyle w:val="Heading1"/>
      </w:pPr>
      <w:r>
        <w:t>16. Tools and Deliverables</w:t>
      </w:r>
    </w:p>
    <w:p>
      <w:pPr>
        <w:pStyle w:val="ListBullet"/>
      </w:pPr>
      <w:r>
        <w:t>Microsoft Excel — financial reporting templates, formulas and sample data.</w:t>
      </w:r>
    </w:p>
    <w:p>
      <w:pPr>
        <w:pStyle w:val="ListBullet"/>
      </w:pPr>
      <w:r>
        <w:t>Microsoft Word — detailed reporting template documentation.</w:t>
      </w:r>
    </w:p>
    <w:p>
      <w:pPr>
        <w:pStyle w:val="ListBullet"/>
      </w:pPr>
      <w:r>
        <w:t>GitHub — version-controlled portfolio repository and project documentation.</w:t>
      </w:r>
    </w:p>
    <w:p>
      <w:r>
        <w:t>The associated GitHub repository contains the Excel templates and sample data used in this project.</w:t>
      </w:r>
    </w:p>
    <w:p>
      <w:pPr>
        <w:pStyle w:val="Heading1"/>
      </w:pPr>
      <w:r>
        <w:t>17. Conclusion</w:t>
      </w:r>
    </w:p>
    <w:p>
      <w:r>
        <w:t>The financial reporting template framework provides a structured and repeatable approach to recurring reporting activities. By combining standardised layouts, automated calculations, variance analysis, control checks and management commentary, the templates help a junior financial analyst move from raw financial information to clear and decision-useful reporting.</w:t>
      </w:r>
    </w:p>
    <w:p>
      <w:r>
        <w:t>The project demonstrates practical skills in financial statement preparation, data organisation, financial analysis, reporting design and professional communication. The modular structure also allows the templates to be adapted to different organisations and reporting requirements.</w:t>
      </w:r>
    </w:p>
    <w:p>
      <w:pPr>
        <w:pStyle w:val="Heading1"/>
      </w:pPr>
      <w:r>
        <w:t>18. GitHub Portfolio</w:t>
      </w:r>
    </w:p>
    <w:p>
      <w:r>
        <w:rPr>
          <w:b/>
        </w:rPr>
        <w:t xml:space="preserve">Repository: </w:t>
      </w:r>
      <w:r>
        <w:t>https://github.com/mukti1p/financial-reporting-templates</w:t>
      </w:r>
    </w:p>
    <w:p>
      <w:r>
        <w:t>The repository is intended to provide a transparent portfolio view of the reporting templates, sample data and supporting documentation.</w:t>
      </w:r>
    </w:p>
    <w:p>
      <w:pPr>
        <w:pStyle w:val="Heading1"/>
      </w:pPr>
      <w:r>
        <w:t>19. Appendix — Template Inventory</w:t>
      </w:r>
    </w:p>
    <w:tbl>
      <w:tblPr>
        <w:tblW w:type="auto" w:w="0"/>
        <w:tblLook w:firstColumn="1" w:firstRow="1" w:lastColumn="0" w:lastRow="0" w:noHBand="0" w:noVBand="1" w:val="04A0"/>
      </w:tblPr>
      <w:tblGrid>
        <w:gridCol w:w="3312"/>
        <w:gridCol w:w="3312"/>
        <w:gridCol w:w="3312"/>
      </w:tblGrid>
      <w:tr>
        <w:tc>
          <w:tcPr>
            <w:tcW w:type="dxa" w:w="3312"/>
            <w:vAlign w:val="center"/>
            <w:shd w:fill="FFFFFF"/>
          </w:tcPr>
          <w:p>
            <w:r>
              <w:rPr>
                <w:sz w:val="18"/>
              </w:rPr>
              <w:t>File</w:t>
            </w:r>
          </w:p>
        </w:tc>
        <w:tc>
          <w:tcPr>
            <w:tcW w:type="dxa" w:w="3312"/>
            <w:vAlign w:val="center"/>
            <w:shd w:fill="FFFFFF"/>
          </w:tcPr>
          <w:p>
            <w:r>
              <w:rPr>
                <w:sz w:val="18"/>
              </w:rPr>
              <w:t>Purpose</w:t>
            </w:r>
          </w:p>
        </w:tc>
        <w:tc>
          <w:tcPr>
            <w:tcW w:type="dxa" w:w="3312"/>
            <w:vAlign w:val="center"/>
            <w:shd w:fill="FFFFFF"/>
          </w:tcPr>
          <w:p>
            <w:r>
              <w:rPr>
                <w:sz w:val="18"/>
              </w:rPr>
              <w:t>Primary User</w:t>
            </w:r>
          </w:p>
        </w:tc>
      </w:tr>
      <w:tr>
        <w:tc>
          <w:tcPr>
            <w:tcW w:type="dxa" w:w="3312"/>
            <w:vAlign w:val="center"/>
            <w:shd w:fill="FFFFFF"/>
          </w:tcPr>
          <w:p>
            <w:r>
              <w:rPr>
                <w:sz w:val="18"/>
              </w:rPr>
              <w:t>Income_Statement_Template.xlsx</w:t>
            </w:r>
          </w:p>
        </w:tc>
        <w:tc>
          <w:tcPr>
            <w:tcW w:type="dxa" w:w="3312"/>
            <w:vAlign w:val="center"/>
            <w:shd w:fill="FFFFFF"/>
          </w:tcPr>
          <w:p>
            <w:r>
              <w:rPr>
                <w:sz w:val="18"/>
              </w:rPr>
              <w:t>Monthly/periodic profitability reporting</w:t>
            </w:r>
          </w:p>
        </w:tc>
        <w:tc>
          <w:tcPr>
            <w:tcW w:type="dxa" w:w="3312"/>
            <w:vAlign w:val="center"/>
            <w:shd w:fill="FFFFFF"/>
          </w:tcPr>
          <w:p>
            <w:r>
              <w:rPr>
                <w:sz w:val="18"/>
              </w:rPr>
              <w:t>Junior Financial Analyst / Finance Manager</w:t>
            </w:r>
          </w:p>
        </w:tc>
      </w:tr>
      <w:tr>
        <w:tc>
          <w:tcPr>
            <w:tcW w:type="dxa" w:w="3312"/>
            <w:vAlign w:val="center"/>
            <w:shd w:fill="FFFFFF"/>
          </w:tcPr>
          <w:p>
            <w:r>
              <w:rPr>
                <w:sz w:val="18"/>
              </w:rPr>
              <w:t>Balance_Sheet_Template.xlsx</w:t>
            </w:r>
          </w:p>
        </w:tc>
        <w:tc>
          <w:tcPr>
            <w:tcW w:type="dxa" w:w="3312"/>
            <w:vAlign w:val="center"/>
            <w:shd w:fill="FFFFFF"/>
          </w:tcPr>
          <w:p>
            <w:r>
              <w:rPr>
                <w:sz w:val="18"/>
              </w:rPr>
              <w:t>Financial position and control check</w:t>
            </w:r>
          </w:p>
        </w:tc>
        <w:tc>
          <w:tcPr>
            <w:tcW w:type="dxa" w:w="3312"/>
            <w:vAlign w:val="center"/>
            <w:shd w:fill="FFFFFF"/>
          </w:tcPr>
          <w:p>
            <w:r>
              <w:rPr>
                <w:sz w:val="18"/>
              </w:rPr>
              <w:t>Junior Financial Analyst / Finance Manager</w:t>
            </w:r>
          </w:p>
        </w:tc>
      </w:tr>
      <w:tr>
        <w:tc>
          <w:tcPr>
            <w:tcW w:type="dxa" w:w="3312"/>
            <w:vAlign w:val="center"/>
            <w:shd w:fill="FFFFFF"/>
          </w:tcPr>
          <w:p>
            <w:r>
              <w:rPr>
                <w:sz w:val="18"/>
              </w:rPr>
              <w:t>Cash_Flow_Template.xlsx</w:t>
            </w:r>
          </w:p>
        </w:tc>
        <w:tc>
          <w:tcPr>
            <w:tcW w:type="dxa" w:w="3312"/>
            <w:vAlign w:val="center"/>
            <w:shd w:fill="FFFFFF"/>
          </w:tcPr>
          <w:p>
            <w:r>
              <w:rPr>
                <w:sz w:val="18"/>
              </w:rPr>
              <w:t>Cash movement and reconciliation</w:t>
            </w:r>
          </w:p>
        </w:tc>
        <w:tc>
          <w:tcPr>
            <w:tcW w:type="dxa" w:w="3312"/>
            <w:vAlign w:val="center"/>
            <w:shd w:fill="FFFFFF"/>
          </w:tcPr>
          <w:p>
            <w:r>
              <w:rPr>
                <w:sz w:val="18"/>
              </w:rPr>
              <w:t>Junior Financial Analyst / Finance Manager</w:t>
            </w:r>
          </w:p>
        </w:tc>
      </w:tr>
      <w:tr>
        <w:tc>
          <w:tcPr>
            <w:tcW w:type="dxa" w:w="3312"/>
            <w:vAlign w:val="center"/>
            <w:shd w:fill="FFFFFF"/>
          </w:tcPr>
          <w:p>
            <w:r>
              <w:rPr>
                <w:sz w:val="18"/>
              </w:rPr>
              <w:t>Variance_Analysis_Template.xlsx</w:t>
            </w:r>
          </w:p>
        </w:tc>
        <w:tc>
          <w:tcPr>
            <w:tcW w:type="dxa" w:w="3312"/>
            <w:vAlign w:val="center"/>
            <w:shd w:fill="FFFFFF"/>
          </w:tcPr>
          <w:p>
            <w:r>
              <w:rPr>
                <w:sz w:val="18"/>
              </w:rPr>
              <w:t>Budget and performance analysis</w:t>
            </w:r>
          </w:p>
        </w:tc>
        <w:tc>
          <w:tcPr>
            <w:tcW w:type="dxa" w:w="3312"/>
            <w:vAlign w:val="center"/>
            <w:shd w:fill="FFFFFF"/>
          </w:tcPr>
          <w:p>
            <w:r>
              <w:rPr>
                <w:sz w:val="18"/>
              </w:rPr>
              <w:t>Junior Financial Analyst / Management</w:t>
            </w:r>
          </w:p>
        </w:tc>
      </w:tr>
      <w:tr>
        <w:tc>
          <w:tcPr>
            <w:tcW w:type="dxa" w:w="3312"/>
            <w:vAlign w:val="center"/>
            <w:shd w:fill="FFFFFF"/>
          </w:tcPr>
          <w:p>
            <w:r>
              <w:rPr>
                <w:sz w:val="18"/>
              </w:rPr>
              <w:t>Sample_Financial_Data.xlsx</w:t>
            </w:r>
          </w:p>
        </w:tc>
        <w:tc>
          <w:tcPr>
            <w:tcW w:type="dxa" w:w="3312"/>
            <w:vAlign w:val="center"/>
            <w:shd w:fill="FFFFFF"/>
          </w:tcPr>
          <w:p>
            <w:r>
              <w:rPr>
                <w:sz w:val="18"/>
              </w:rPr>
              <w:t>Hypothetical source data for demonstration</w:t>
            </w:r>
          </w:p>
        </w:tc>
        <w:tc>
          <w:tcPr>
            <w:tcW w:type="dxa" w:w="3312"/>
            <w:vAlign w:val="center"/>
            <w:shd w:fill="FFFFFF"/>
          </w:tcPr>
          <w:p>
            <w:r>
              <w:rPr>
                <w:sz w:val="18"/>
              </w:rPr>
              <w:t>Analyst / Reviewer</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Financial Reporting Templates | Mukti Patel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