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/>
          <w:b/>
          <w:sz w:val="27"/>
        </w:rPr>
        <w:t>Weekly Progress Report Template</w:t>
      </w:r>
    </w:p>
    <w:p>
      <w:pPr>
        <w:spacing w:before="0" w:after="50" w:line="276" w:lineRule="auto"/>
      </w:pPr>
      <w:r>
        <w:rPr>
          <w:rFonts w:ascii="Times New Roman" w:hAnsi="Times New Roman"/>
          <w:b/>
        </w:rPr>
        <w:t xml:space="preserve">Project Title: </w:t>
      </w:r>
      <w:r>
        <w:rPr>
          <w:rFonts w:ascii="Times New Roman" w:hAnsi="Times New Roman"/>
        </w:rPr>
        <w:t>Development of e-Portal for Facilitating Case Management Hearing of Various Types of Cases (Order XV-A CPC)</w:t>
      </w:r>
    </w:p>
    <w:p>
      <w:pPr>
        <w:spacing w:before="0" w:after="50" w:line="276" w:lineRule="auto"/>
      </w:pPr>
      <w:r>
        <w:rPr>
          <w:rFonts w:ascii="Times New Roman" w:hAnsi="Times New Roman"/>
          <w:b/>
        </w:rPr>
        <w:t xml:space="preserve">Team ID: </w:t>
      </w:r>
      <w:r>
        <w:rPr>
          <w:rFonts w:ascii="Times New Roman" w:hAnsi="Times New Roman"/>
        </w:rPr>
        <w:t>SVVV-CSE-2026-MP-14</w:t>
      </w:r>
    </w:p>
    <w:p>
      <w:pPr>
        <w:spacing w:before="0" w:after="50" w:line="276" w:lineRule="auto"/>
      </w:pPr>
      <w:r>
        <w:rPr>
          <w:rFonts w:ascii="Times New Roman" w:hAnsi="Times New Roman"/>
          <w:b/>
        </w:rPr>
        <w:t xml:space="preserve">Date: </w:t>
      </w:r>
      <w:r>
        <w:rPr>
          <w:rFonts w:ascii="Times New Roman" w:hAnsi="Times New Roman"/>
        </w:rPr>
        <w:t>September 11, 2026 – September 18, 2026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1. Executive Summary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Current Sprint:</w:t>
      </w:r>
      <w:r>
        <w:rPr>
          <w:rFonts w:ascii="Times New Roman" w:hAnsi="Times New Roman"/>
        </w:rPr>
        <w:t xml:space="preserve"> Sprint 2 of 6 (Phase 1: Functional Modeling &amp; Requirement Engineering)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Sprint Goal:</w:t>
      </w:r>
      <w:r>
        <w:rPr>
          <w:rFonts w:ascii="Times New Roman" w:hAnsi="Times New Roman"/>
        </w:rPr>
        <w:t xml:space="preserve"> Complete Functional Modeling under Order XV-A CPC by identifying human &amp; system actors, constructing the Use Case Diagram to establish rigid system boundaries, authoring formal Cockburn Use Case Descriptions (UC-01 to UC-06), and mapping Use Cases to Jira User Stories with Gherkin acceptance criteria.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Status:</w:t>
      </w:r>
      <w:r>
        <w:rPr>
          <w:rFonts w:ascii="Times New Roman" w:hAnsi="Times New Roman"/>
        </w:rPr>
        <w:t xml:space="preserve"> On Track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2. UML &amp; OOAD Progress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Diagrams Completed this week:</w:t>
      </w:r>
      <w:r>
        <w:rPr>
          <w:rFonts w:ascii="Times New Roman" w:hAnsi="Times New Roman"/>
        </w:rPr>
        <w:t xml:space="preserve"> Use Case Diagram (System Boundary Definition enclosing 6 primary use cases UC-01 to UC-06 interacting with 4 human actors and 3 system actors), Subsystem Use Case Diagrams (incorporating &lt;&lt;include&gt;&gt; for RBAC authentication, SHA-256 document hashing, and schedule clash verification; and &lt;&lt;extend&gt;&gt; for ADR Lok Adalat mediation and multichannel deadline alerts), and Detailed IEEE/Cockburn Use Case Specifications.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Diagrams Revised:</w:t>
      </w:r>
      <w:r>
        <w:rPr>
          <w:rFonts w:ascii="Times New Roman" w:hAnsi="Times New Roman"/>
        </w:rPr>
        <w:t xml:space="preserve"> System Boundary Refinement (Decoupled legacy CIS 3.2 / NJDG and SMS/Email telecommunication gateways as external API boundary actors rather than internal services), and Actor Hierarchy Refinement (Subdivided generic user roles to distinguish Advocate with filing/scheduling rights from Litigant with read-only tracking and alert rights).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OO Concept Applied:</w:t>
      </w:r>
      <w:r>
        <w:rPr>
          <w:rFonts w:ascii="Times New Roman" w:hAnsi="Times New Roman"/>
        </w:rPr>
        <w:t xml:space="preserve"> Actor Generalization &amp; Specialization (Base User actor specialized into JudicialOfficer, Advocate, CourtRegistryClerk, and Litigant with distinct RBAC boundaries); Functional Decomposition using &lt;&lt;include&gt;&gt; (enforcing SHA-256 cryptographic hashing) and &lt;&lt;extend&gt;&gt; (conditional Section 89 CPC mediation referrals).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3. Technical Execution (DevOps &amp; Git)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Jira Tasks Completed:</w:t>
      </w:r>
      <w:r>
        <w:rPr>
          <w:rFonts w:ascii="Times New Roman" w:hAnsi="Times New Roman"/>
        </w:rPr>
        <w:t xml:space="preserve"> [CMH-201] Clerk &amp; Judge 2FA Authentication with JWT RBAC middleware; [CMH-202] Cryptographic SHA-256 docket file hashing &amp; PDF/A validation service; [CMH-203] Interactive Admissions &amp; Denials data model and state machine; [CMH-204] Judge Pre-Trial Summary View separating admitted facts from triable issues; [CMH-205] Multi-courtroom advocate schedule conflict-detection algorithm; [CMH-206] ICS calendar sync and booking confirmation generator.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Git Activity:</w:t>
      </w:r>
    </w:p>
    <w:p>
      <w:pPr>
        <w:spacing w:before="20" w:after="40" w:line="276" w:lineRule="auto"/>
        <w:ind w:left="720" w:hanging="360"/>
      </w:pPr>
      <w:r>
        <w:rPr>
          <w:rFonts w:ascii="Times New Roman" w:hAnsi="Times New Roman"/>
        </w:rPr>
        <w:t xml:space="preserve">◦ </w:t>
      </w:r>
      <w:r>
        <w:rPr>
          <w:rFonts w:ascii="Times New Roman" w:hAnsi="Times New Roman"/>
          <w:b/>
        </w:rPr>
        <w:t>Active Branches:</w:t>
      </w:r>
      <w:r>
        <w:rPr>
          <w:rFonts w:ascii="Times New Roman" w:hAnsi="Times New Roman"/>
        </w:rPr>
        <w:t xml:space="preserve"> feature/use-case-boundary-mapping, feature/jira-story-cmh-201-auth-rbac, feature/jira-story-cmh-203-admissions-matrix, feature/clash-detection-algorithm-spike</w:t>
      </w:r>
    </w:p>
    <w:p>
      <w:pPr>
        <w:spacing w:before="20" w:after="40" w:line="276" w:lineRule="auto"/>
        <w:ind w:left="720" w:hanging="360"/>
      </w:pPr>
      <w:r>
        <w:rPr>
          <w:rFonts w:ascii="Times New Roman" w:hAnsi="Times New Roman"/>
        </w:rPr>
        <w:t xml:space="preserve">◦ </w:t>
      </w:r>
      <w:r>
        <w:rPr>
          <w:rFonts w:ascii="Times New Roman" w:hAnsi="Times New Roman"/>
          <w:b/>
        </w:rPr>
        <w:t>Merged Pull Requests:</w:t>
      </w:r>
      <w:r>
        <w:rPr>
          <w:rFonts w:ascii="Times New Roman" w:hAnsi="Times New Roman"/>
        </w:rPr>
        <w:t xml:space="preserve"> PR #18 (Use Case models &amp; RBAC policies), PR #21 (Admissions matrix schema &amp; locking), PR #23 (SHA-256 verification &amp; digital docket receipts)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CI/CD Status:</w:t>
      </w:r>
      <w:r>
        <w:rPr>
          <w:rFonts w:ascii="Times New Roman" w:hAnsi="Times New Roman"/>
        </w:rPr>
        <w:t xml:space="preserve"> Build Passing / 92% Code Coverage (GitHub Actions pipeline running flake8 linting, black formatting, pytest test suites, and schema validation).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4. Testing Summary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Total Unit Tests:</w:t>
      </w:r>
      <w:r>
        <w:rPr>
          <w:rFonts w:ascii="Times New Roman" w:hAnsi="Times New Roman"/>
        </w:rPr>
        <w:t xml:space="preserve"> 34 Tests (Authentication, Docket File Validation, Admissions Locking, Conflict Detection)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Pass Rate:</w:t>
      </w:r>
      <w:r>
        <w:rPr>
          <w:rFonts w:ascii="Times New Roman" w:hAnsi="Times New Roman"/>
        </w:rPr>
        <w:t xml:space="preserve"> 100%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  <w:b/>
        </w:rPr>
        <w:t>Key Bug Identified:</w:t>
      </w:r>
      <w:r>
        <w:rPr>
          <w:rFonts w:ascii="Times New Roman" w:hAnsi="Times New Roman"/>
        </w:rPr>
        <w:t xml:space="preserve"> Concurrency race condition during simultaneous submissions of the Admissions Matrix by opposing counsels resolved via database-level row versioning and atomic transaction locks in SQLAlchemy.</w:t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5. Goals for Next Week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Phase 2: Object-Oriented Analysis (Weeks 3–4) — Focus: Understanding the "What" of the system without focusing on implementation. Identify domain entities and conceptual relationships for the CMH e-Portal (Judges, Advocates, Court Clerks, Litigants, Cases, Pleadings, Exhibits, Admissions Checklists, CMH Sessions, and Case Management Orders).</w:t>
      </w:r>
    </w:p>
    <w:p>
      <w:pPr>
        <w:spacing w:before="20" w:after="60" w:line="276" w:lineRule="auto"/>
        <w:ind w:left="360" w:hanging="360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UML Deliverables: Construct Object Diagram for active dispute runtime snapshot and Initial Class Diagram (Domain Model) with multiplicity relationships (1:1, 1:N, M:N) without methods.</w:t>
      </w:r>
    </w:p>
    <w:p>
      <w:pPr>
        <w:spacing w:before="120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2"/>
              </w:rPr>
              <w:t>Project Guide Signature</w:t>
            </w:r>
          </w:p>
        </w:tc>
        <w:tc>
          <w:tcPr>
            <w:tcW w:type="dxa" w:w="4680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22"/>
              </w:rPr>
              <w:t>Project In-charge Signature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