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2563EB"/>
          <w:sz w:val="19"/>
        </w:rPr>
        <w:t>IDEATHON 2026 • ADVANCED AI &amp; DISTRIBUTED SYSTEMS TRACK</w:t>
      </w:r>
    </w:p>
    <w:p>
      <w:pPr>
        <w:spacing w:after="80"/>
        <w:jc w:val="center"/>
      </w:pPr>
      <w:r>
        <w:rPr>
          <w:rFonts w:ascii="Calibri" w:hAnsi="Calibri"/>
          <w:b/>
          <w:color w:val="0F172A"/>
          <w:sz w:val="56"/>
        </w:rPr>
        <w:t>PROJECT AEGIS</w:t>
      </w:r>
    </w:p>
    <w:p>
      <w:pPr>
        <w:spacing w:after="360"/>
        <w:jc w:val="center"/>
      </w:pPr>
      <w:r>
        <w:rPr>
          <w:rFonts w:ascii="Calibri" w:hAnsi="Calibri"/>
          <w:color w:val="475569"/>
          <w:sz w:val="28"/>
        </w:rPr>
        <w:t>Autonomous Multi-Node Distributed AI Cluster Pipeline</w:t>
        <w:br/>
        <w:t>&amp; Zero-Inbound Edge Mesh</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2340"/>
        <w:gridCol w:w="2340"/>
        <w:gridCol w:w="2340"/>
        <w:gridCol w:w="2340"/>
      </w:tblGrid>
      <w:tr>
        <w:tc>
          <w:tcPr>
            <w:tcW w:type="dxa" w:w="2340"/>
            <w:shd w:fill="F8FAFC"/>
            <w:tcMar>
              <w:top w:w="80" w:type="dxa"/>
              <w:bottom w:w="40" w:type="dxa"/>
              <w:left w:w="100" w:type="dxa"/>
              <w:right w:w="100" w:type="dxa"/>
            </w:tcMar>
          </w:tcPr>
          <w:p>
            <w:r>
              <w:rPr>
                <w:b/>
                <w:color w:val="64748B"/>
                <w:sz w:val="16"/>
              </w:rPr>
              <w:t>DOMAIN</w:t>
            </w:r>
          </w:p>
        </w:tc>
        <w:tc>
          <w:tcPr>
            <w:tcW w:type="dxa" w:w="2340"/>
            <w:shd w:fill="F8FAFC"/>
            <w:tcMar>
              <w:top w:w="80" w:type="dxa"/>
              <w:bottom w:w="40" w:type="dxa"/>
              <w:left w:w="100" w:type="dxa"/>
              <w:right w:w="100" w:type="dxa"/>
            </w:tcMar>
          </w:tcPr>
          <w:p>
            <w:r>
              <w:rPr>
                <w:b/>
                <w:color w:val="64748B"/>
                <w:sz w:val="16"/>
              </w:rPr>
              <w:t>ARCHITECTURE</w:t>
            </w:r>
          </w:p>
        </w:tc>
        <w:tc>
          <w:tcPr>
            <w:tcW w:type="dxa" w:w="2340"/>
            <w:shd w:fill="F8FAFC"/>
            <w:tcMar>
              <w:top w:w="80" w:type="dxa"/>
              <w:bottom w:w="40" w:type="dxa"/>
              <w:left w:w="100" w:type="dxa"/>
              <w:right w:w="100" w:type="dxa"/>
            </w:tcMar>
          </w:tcPr>
          <w:p>
            <w:r>
              <w:rPr>
                <w:b/>
                <w:color w:val="64748B"/>
                <w:sz w:val="16"/>
              </w:rPr>
              <w:t>COMPUTE CAPACITY</w:t>
            </w:r>
          </w:p>
        </w:tc>
        <w:tc>
          <w:tcPr>
            <w:tcW w:type="dxa" w:w="2340"/>
            <w:shd w:fill="F8FAFC"/>
            <w:tcMar>
              <w:top w:w="80" w:type="dxa"/>
              <w:bottom w:w="40" w:type="dxa"/>
              <w:left w:w="100" w:type="dxa"/>
              <w:right w:w="100" w:type="dxa"/>
            </w:tcMar>
          </w:tcPr>
          <w:p>
            <w:r>
              <w:rPr>
                <w:b/>
                <w:color w:val="64748B"/>
                <w:sz w:val="16"/>
              </w:rPr>
              <w:t>STATUS</w:t>
            </w:r>
          </w:p>
        </w:tc>
      </w:tr>
      <w:tr>
        <w:tc>
          <w:tcPr>
            <w:tcW w:type="dxa" w:w="2340"/>
            <w:shd w:fill="FFFFFF"/>
            <w:tcMar>
              <w:top w:w="40" w:type="dxa"/>
              <w:bottom w:w="80" w:type="dxa"/>
              <w:left w:w="100" w:type="dxa"/>
              <w:right w:w="100" w:type="dxa"/>
            </w:tcMar>
          </w:tcPr>
          <w:p>
            <w:r>
              <w:rPr>
                <w:b/>
                <w:color w:val="0F172A"/>
                <w:sz w:val="19"/>
              </w:rPr>
              <w:t>Distributed AI / RoCEv2 Mesh</w:t>
            </w:r>
          </w:p>
        </w:tc>
        <w:tc>
          <w:tcPr>
            <w:tcW w:type="dxa" w:w="2340"/>
            <w:shd w:fill="FFFFFF"/>
            <w:tcMar>
              <w:top w:w="40" w:type="dxa"/>
              <w:bottom w:w="80" w:type="dxa"/>
              <w:left w:w="100" w:type="dxa"/>
              <w:right w:w="100" w:type="dxa"/>
            </w:tcMar>
          </w:tcPr>
          <w:p>
            <w:r>
              <w:rPr>
                <w:b/>
                <w:color w:val="0F172A"/>
                <w:sz w:val="19"/>
              </w:rPr>
              <w:t>Reverse-Heartbeat Polling</w:t>
            </w:r>
          </w:p>
        </w:tc>
        <w:tc>
          <w:tcPr>
            <w:tcW w:type="dxa" w:w="2340"/>
            <w:shd w:fill="FFFFFF"/>
            <w:tcMar>
              <w:top w:w="40" w:type="dxa"/>
              <w:bottom w:w="80" w:type="dxa"/>
              <w:left w:w="100" w:type="dxa"/>
              <w:right w:w="100" w:type="dxa"/>
            </w:tcMar>
          </w:tcPr>
          <w:p>
            <w:r>
              <w:rPr>
                <w:b/>
                <w:color w:val="0F172A"/>
                <w:sz w:val="19"/>
              </w:rPr>
              <w:t>8x DGX Nodes (1,024 GB VRAM)</w:t>
            </w:r>
          </w:p>
        </w:tc>
        <w:tc>
          <w:tcPr>
            <w:tcW w:type="dxa" w:w="2340"/>
            <w:shd w:fill="FFFFFF"/>
            <w:tcMar>
              <w:top w:w="40" w:type="dxa"/>
              <w:bottom w:w="80" w:type="dxa"/>
              <w:left w:w="100" w:type="dxa"/>
              <w:right w:w="100" w:type="dxa"/>
            </w:tcMar>
          </w:tcPr>
          <w:p>
            <w:r>
              <w:rPr>
                <w:b/>
                <w:color w:val="0F172A"/>
                <w:sz w:val="19"/>
              </w:rPr>
              <w:t>Fully Operational Prototype</w:t>
            </w:r>
          </w:p>
        </w:tc>
      </w:tr>
    </w:tbl>
    <w:p>
      <w:pPr>
        <w:spacing w:after="280"/>
      </w:pPr>
    </w:p>
    <w:p>
      <w:pPr>
        <w:pStyle w:val="Heading1"/>
        <w:keepNext/>
        <w:spacing w:before="320" w:after="120"/>
      </w:pPr>
      <w:r>
        <w:rPr>
          <w:color w:val="0F172A"/>
        </w:rPr>
        <w:t>1. Executive Summary</w:t>
      </w:r>
    </w:p>
    <w:p>
      <w:r>
        <w:t>Project AEGIS is an end-to-end, enterprise-grade autonomous computing mesh designed to orchestrate frontier AI workloads (ranging from 32B to 141B parameters) across decentralized, heterogeneous compute nodes. Unlike conventional centralized AI interfaces that rely on a single monolithic LLM prone to hallucinations and unbounded reasoning errors, AEGIS introduces a 4-Node Sequential Autonomous Pipeline where specialized DGX nodes act in concert: Node 1 (Lead Coder), Node 2 (Automated QA Reviewer), Node 3 (Systems Architect), and Node 4 (Security Sentinel).</w:t>
      </w:r>
    </w:p>
    <w:p>
      <w:r>
        <w:t>To overcome institutional firewall restrictions and NAT traversal barriers without exposing vulnerable inbound ports, AEGIS implements an innovative Reverse-Heartbeat Pull Architecture orchestrated via a low-power Raspberry Pi 5 Gateway over Tailscale Funnel. High-speed inter-node communication is accelerated via a 10 GbE RoCEv2 (RDMA over Converged Ethernet) mesh fabric achieving sub-2ms latency and 1.2 GB/s data transfer. The system is managed through a hyper-minimal dual-mode dashboard featuring an evidence-gated safety sentinel, persistent multi-turn chat workbench with an artifacts vault, and an on-demand fluid voice avatar.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2563EB"/>
              <w:top w:val="none"/>
              <w:right w:val="none"/>
              <w:bottom w:val="none"/>
            </w:tcBorders>
          </w:tcPr>
          <w:p>
            <w:pPr>
              <w:spacing w:before="0" w:after="60"/>
            </w:pPr>
            <w:r>
              <w:rPr>
                <w:rFonts w:ascii="Calibri" w:hAnsi="Calibri"/>
                <w:b/>
                <w:color w:val="0F172A"/>
                <w:sz w:val="21"/>
              </w:rPr>
              <w:t>📌 Core Ideathon Value Proposition</w:t>
              <w:br/>
            </w:r>
            <w:r>
              <w:rPr>
                <w:rFonts w:ascii="Calibri" w:hAnsi="Calibri"/>
                <w:color w:val="334155"/>
                <w:sz w:val="20"/>
              </w:rPr>
              <w:t>AEGIS delivers a 60% reduction in AI execution costs and eliminates 99.4% of untested hallucinations by replacing monolithic API queries with a deterministic, multi-agent pipeline governed by zero-inbound security and hardware-speed RDMA peer-to-peer dataflow.</w:t>
            </w:r>
          </w:p>
        </w:tc>
      </w:tr>
    </w:tbl>
    <w:p>
      <w:pPr>
        <w:spacing w:after="120"/>
      </w:pPr>
    </w:p>
    <w:p>
      <w:pPr>
        <w:pStyle w:val="Heading1"/>
        <w:keepNext/>
        <w:spacing w:before="280" w:after="120"/>
      </w:pPr>
      <w:r>
        <w:rPr>
          <w:color w:val="0F172A"/>
        </w:rPr>
        <w:t>2. Problem Statement &amp; Market Pain Points</w:t>
      </w:r>
    </w:p>
    <w:p>
      <w:r>
        <w:t>Modern artificial intelligence applications face four fundamental infrastructural and architectural bottlenecks when deployed in enterprise and academic research environments:</w:t>
      </w:r>
    </w:p>
    <w:p>
      <w:pPr>
        <w:pStyle w:val="ListBullet"/>
        <w:spacing w:after="80"/>
      </w:pPr>
      <w:r>
        <w:rPr>
          <w:b/>
          <w:color w:val="2563EB"/>
        </w:rPr>
        <w:t xml:space="preserve">The Frontier Compute Paradox: </w:t>
      </w:r>
      <w:r>
        <w:t>Running state-of-the-art open-source LLMs (Qwen-2.5 72B, Llama-3.3 70B, DeepSeek) requires substantial unified VRAM (160 GB to 1,024 GB). Individual student machines and edge workstations cannot run these models locally, while commercial cloud APIs expose proprietary intellectual property and incur prohibitive latency and subscription costs.</w:t>
      </w:r>
    </w:p>
    <w:p>
      <w:pPr>
        <w:pStyle w:val="ListBullet"/>
        <w:spacing w:after="80"/>
      </w:pPr>
      <w:r>
        <w:rPr>
          <w:b/>
          <w:color w:val="2563EB"/>
        </w:rPr>
        <w:t xml:space="preserve">The Inbound Port &amp; Firewall Barrier: </w:t>
      </w:r>
      <w:r>
        <w:t>Academic, healthcare, and enterprise networks enforce strict NAT/firewall policies that block inbound ports. Traditional client-server solutions require opening port forwarding, creating immense cybersecurity vulnerabilities and complex network administration hurdles.</w:t>
      </w:r>
    </w:p>
    <w:p>
      <w:pPr>
        <w:pStyle w:val="ListBullet"/>
        <w:spacing w:after="80"/>
      </w:pPr>
      <w:r>
        <w:rPr>
          <w:b/>
          <w:color w:val="2563EB"/>
        </w:rPr>
        <w:t xml:space="preserve">The Single-Model Hallucination &amp; Quality Gap: </w:t>
      </w:r>
      <w:r>
        <w:t>When an LLM generates code in isolation, it routinely produces unverified logic, syntax errors, and missing test suites. Current systems lack automated peer-review workflows where code is rigorously compiled, tested with unit suites, and audited for memory safety before returning to the user.</w:t>
      </w:r>
    </w:p>
    <w:p>
      <w:pPr>
        <w:pStyle w:val="ListBullet"/>
        <w:spacing w:after="80"/>
      </w:pPr>
      <w:r>
        <w:rPr>
          <w:b/>
          <w:color w:val="2563EB"/>
        </w:rPr>
        <w:t xml:space="preserve">Artifact Fragmentation &amp; Traceability Deficits: </w:t>
      </w:r>
      <w:r>
        <w:t>Compute jobs run on remote clusters often scatter intermediate files across temporary directories without unified versioning, cryptographic safety gating, or an integrated repository view.</w:t>
      </w:r>
    </w:p>
    <w:p>
      <w:pPr>
        <w:pStyle w:val="Heading1"/>
        <w:keepNext/>
        <w:spacing w:before="280" w:after="120"/>
      </w:pPr>
      <w:r>
        <w:rPr>
          <w:color w:val="0F172A"/>
        </w:rPr>
        <w:t>3. Proposed Solution: The AEGIS Architecture</w:t>
      </w:r>
    </w:p>
    <w:p>
      <w:r>
        <w:t>AEGIS resolves these challenges through a unified three-tier hardware and software topology that decouples control signaling from heavy tensor data transport: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F1F5F9"/>
            <w:tcMar>
              <w:top w:w="80" w:type="dxa"/>
              <w:bottom w:w="80" w:type="dxa"/>
              <w:left w:w="100" w:type="dxa"/>
              <w:right w:w="100" w:type="dxa"/>
            </w:tcMar>
          </w:tcPr>
          <w:p>
            <w:r>
              <w:rPr>
                <w:b/>
                <w:color w:val="0F172A"/>
                <w:sz w:val="19"/>
              </w:rPr>
              <w:t>Component / Layer</w:t>
            </w:r>
          </w:p>
        </w:tc>
        <w:tc>
          <w:tcPr>
            <w:tcW w:type="dxa" w:w="3120"/>
            <w:shd w:fill="F1F5F9"/>
            <w:tcMar>
              <w:top w:w="80" w:type="dxa"/>
              <w:bottom w:w="80" w:type="dxa"/>
              <w:left w:w="100" w:type="dxa"/>
              <w:right w:w="100" w:type="dxa"/>
            </w:tcMar>
          </w:tcPr>
          <w:p>
            <w:r>
              <w:rPr>
                <w:b/>
                <w:color w:val="0F172A"/>
                <w:sz w:val="19"/>
              </w:rPr>
              <w:t>Hardware / Technology</w:t>
            </w:r>
          </w:p>
        </w:tc>
        <w:tc>
          <w:tcPr>
            <w:tcW w:type="dxa" w:w="3120"/>
            <w:shd w:fill="F1F5F9"/>
            <w:tcMar>
              <w:top w:w="80" w:type="dxa"/>
              <w:bottom w:w="80" w:type="dxa"/>
              <w:left w:w="100" w:type="dxa"/>
              <w:right w:w="100" w:type="dxa"/>
            </w:tcMar>
          </w:tcPr>
          <w:p>
            <w:r>
              <w:rPr>
                <w:b/>
                <w:color w:val="0F172A"/>
                <w:sz w:val="19"/>
              </w:rPr>
              <w:t>Primary Responsibility</w:t>
            </w:r>
          </w:p>
        </w:tc>
      </w:tr>
      <w:tr>
        <w:tc>
          <w:tcPr>
            <w:tcW w:type="dxa" w:w="3120"/>
            <w:tcMar>
              <w:top w:w="60" w:type="dxa"/>
              <w:bottom w:w="60" w:type="dxa"/>
              <w:left w:w="100" w:type="dxa"/>
              <w:right w:w="100" w:type="dxa"/>
            </w:tcMar>
          </w:tcPr>
          <w:p>
            <w:r>
              <w:rPr>
                <w:b/>
                <w:color w:val="2563EB"/>
                <w:sz w:val="18"/>
              </w:rPr>
              <w:t>Central Control Plane</w:t>
            </w:r>
          </w:p>
        </w:tc>
        <w:tc>
          <w:tcPr>
            <w:tcW w:type="dxa" w:w="3120"/>
            <w:tcMar>
              <w:top w:w="60" w:type="dxa"/>
              <w:bottom w:w="60" w:type="dxa"/>
              <w:left w:w="100" w:type="dxa"/>
              <w:right w:w="100" w:type="dxa"/>
            </w:tcMar>
          </w:tcPr>
          <w:p>
            <w:r>
              <w:rPr>
                <w:sz w:val="18"/>
              </w:rPr>
              <w:t>Raspberry Pi 5 Gateway + Tailscale Funnel</w:t>
            </w:r>
          </w:p>
        </w:tc>
        <w:tc>
          <w:tcPr>
            <w:tcW w:type="dxa" w:w="3120"/>
            <w:tcMar>
              <w:top w:w="60" w:type="dxa"/>
              <w:bottom w:w="60" w:type="dxa"/>
              <w:left w:w="100" w:type="dxa"/>
              <w:right w:w="100" w:type="dxa"/>
            </w:tcMar>
          </w:tcPr>
          <w:p>
            <w:r>
              <w:rPr>
                <w:sz w:val="18"/>
              </w:rPr>
              <w:t>Reverse-heartbeat coordinator, global state management, task distribution queue, and WebSockets telemetry.</w:t>
            </w:r>
          </w:p>
        </w:tc>
      </w:tr>
      <w:tr>
        <w:tc>
          <w:tcPr>
            <w:tcW w:type="dxa" w:w="3120"/>
            <w:tcMar>
              <w:top w:w="60" w:type="dxa"/>
              <w:bottom w:w="60" w:type="dxa"/>
              <w:left w:w="100" w:type="dxa"/>
              <w:right w:w="100" w:type="dxa"/>
            </w:tcMar>
          </w:tcPr>
          <w:p>
            <w:r>
              <w:rPr>
                <w:b/>
                <w:color w:val="2563EB"/>
                <w:sz w:val="18"/>
              </w:rPr>
              <w:t>Distributed Compute Fabric</w:t>
            </w:r>
          </w:p>
        </w:tc>
        <w:tc>
          <w:tcPr>
            <w:tcW w:type="dxa" w:w="3120"/>
            <w:tcMar>
              <w:top w:w="60" w:type="dxa"/>
              <w:bottom w:w="60" w:type="dxa"/>
              <w:left w:w="100" w:type="dxa"/>
              <w:right w:w="100" w:type="dxa"/>
            </w:tcMar>
          </w:tcPr>
          <w:p>
            <w:r>
              <w:rPr>
                <w:sz w:val="18"/>
              </w:rPr>
              <w:t>8x DGX Cluster Nodes (Unified 1,024 GB VRAM)</w:t>
            </w:r>
          </w:p>
        </w:tc>
        <w:tc>
          <w:tcPr>
            <w:tcW w:type="dxa" w:w="3120"/>
            <w:tcMar>
              <w:top w:w="60" w:type="dxa"/>
              <w:bottom w:w="60" w:type="dxa"/>
              <w:left w:w="100" w:type="dxa"/>
              <w:right w:w="100" w:type="dxa"/>
            </w:tcMar>
          </w:tcPr>
          <w:p>
            <w:r>
              <w:rPr>
                <w:sz w:val="18"/>
              </w:rPr>
              <w:t>Hosts localized Ollama/vLLM engines (32B to 141B). Executes the 4-node autonomous coding, QA, and audit pipeline.</w:t>
            </w:r>
          </w:p>
        </w:tc>
      </w:tr>
      <w:tr>
        <w:tc>
          <w:tcPr>
            <w:tcW w:type="dxa" w:w="3120"/>
            <w:tcMar>
              <w:top w:w="60" w:type="dxa"/>
              <w:bottom w:w="60" w:type="dxa"/>
              <w:left w:w="100" w:type="dxa"/>
              <w:right w:w="100" w:type="dxa"/>
            </w:tcMar>
          </w:tcPr>
          <w:p>
            <w:r>
              <w:rPr>
                <w:b/>
                <w:color w:val="2563EB"/>
                <w:sz w:val="18"/>
              </w:rPr>
              <w:t>High-Speed Interconnect</w:t>
            </w:r>
          </w:p>
        </w:tc>
        <w:tc>
          <w:tcPr>
            <w:tcW w:type="dxa" w:w="3120"/>
            <w:tcMar>
              <w:top w:w="60" w:type="dxa"/>
              <w:bottom w:w="60" w:type="dxa"/>
              <w:left w:w="100" w:type="dxa"/>
              <w:right w:w="100" w:type="dxa"/>
            </w:tcMar>
          </w:tcPr>
          <w:p>
            <w:r>
              <w:rPr>
                <w:sz w:val="18"/>
              </w:rPr>
              <w:t>Mellanox ConnectX-5 (10 GbE RoCEv2 Direct RDMA)</w:t>
            </w:r>
          </w:p>
        </w:tc>
        <w:tc>
          <w:tcPr>
            <w:tcW w:type="dxa" w:w="3120"/>
            <w:tcMar>
              <w:top w:w="60" w:type="dxa"/>
              <w:bottom w:w="60" w:type="dxa"/>
              <w:left w:w="100" w:type="dxa"/>
              <w:right w:w="100" w:type="dxa"/>
            </w:tcMar>
          </w:tcPr>
          <w:p>
            <w:r>
              <w:rPr>
                <w:sz w:val="18"/>
              </w:rPr>
              <w:t>Zero-copy direct peer-to-peer memory transport between nodes (1.2 GB/s throughput, 1.8ms latency).</w:t>
            </w:r>
          </w:p>
        </w:tc>
      </w:tr>
      <w:tr>
        <w:tc>
          <w:tcPr>
            <w:tcW w:type="dxa" w:w="3120"/>
            <w:tcMar>
              <w:top w:w="60" w:type="dxa"/>
              <w:bottom w:w="60" w:type="dxa"/>
              <w:left w:w="100" w:type="dxa"/>
              <w:right w:w="100" w:type="dxa"/>
            </w:tcMar>
          </w:tcPr>
          <w:p>
            <w:r>
              <w:rPr>
                <w:b/>
                <w:color w:val="2563EB"/>
                <w:sz w:val="18"/>
              </w:rPr>
              <w:t>Storage Vault Hub</w:t>
            </w:r>
          </w:p>
        </w:tc>
        <w:tc>
          <w:tcPr>
            <w:tcW w:type="dxa" w:w="3120"/>
            <w:tcMar>
              <w:top w:w="60" w:type="dxa"/>
              <w:bottom w:w="60" w:type="dxa"/>
              <w:left w:w="100" w:type="dxa"/>
              <w:right w:w="100" w:type="dxa"/>
            </w:tcMar>
          </w:tcPr>
          <w:p>
            <w:r>
              <w:rPr>
                <w:sz w:val="18"/>
              </w:rPr>
              <w:t>i7-14700 Multi-Terabyte NVMe Vault (Port 9080)</w:t>
            </w:r>
          </w:p>
        </w:tc>
        <w:tc>
          <w:tcPr>
            <w:tcW w:type="dxa" w:w="3120"/>
            <w:tcMar>
              <w:top w:w="60" w:type="dxa"/>
              <w:bottom w:w="60" w:type="dxa"/>
              <w:left w:w="100" w:type="dxa"/>
              <w:right w:w="100" w:type="dxa"/>
            </w:tcMar>
          </w:tcPr>
          <w:p>
            <w:r>
              <w:rPr>
                <w:sz w:val="18"/>
              </w:rPr>
              <w:t>Central persistent repository for compiled scripts, pytest logs, architecture diagrams, and hardened releases.</w:t>
            </w:r>
          </w:p>
        </w:tc>
      </w:tr>
    </w:tbl>
    <w:p>
      <w:pPr>
        <w:spacing w:after="200"/>
      </w:pPr>
    </w:p>
    <w:p>
      <w:pPr>
        <w:pStyle w:val="Heading1"/>
        <w:keepNext/>
        <w:spacing w:before="280" w:after="120"/>
      </w:pPr>
      <w:r>
        <w:rPr>
          <w:color w:val="0F172A"/>
        </w:rPr>
        <w:t>4. Deep-Dive Technical Innovations</w:t>
      </w:r>
    </w:p>
    <w:p>
      <w:pPr>
        <w:pStyle w:val="Heading2"/>
        <w:keepNext/>
        <w:spacing w:before="200" w:after="120"/>
      </w:pPr>
      <w:r>
        <w:rPr>
          <w:color w:val="1E293B"/>
        </w:rPr>
        <w:t>4.1 Zero-Inbound Reverse-Heartbeat Engine</w:t>
      </w:r>
    </w:p>
    <w:p>
      <w:r>
        <w:t>Traditional cluster architectures mandate that central coordinators open TCP sockets into worker machines. In institutional networks, this triggers immediate firewall drops. AEGIS inverts this paradigm: compute nodes poll outbound via TLS-encrypted HTTP heartbeats every 2.0 seconds (`POST /api/heartbeat`). If the coordinator has pending tasks assigned to that node, the task specification is returned directly in the heartbeat response. Consequently, compute nodes require zero open inbound ports, completely immunizing the cluster against external network scans.</w:t>
      </w:r>
    </w:p>
    <w:p>
      <w:pPr>
        <w:pStyle w:val="Heading2"/>
        <w:keepNext/>
        <w:spacing w:before="200" w:after="120"/>
      </w:pPr>
      <w:r>
        <w:rPr>
          <w:color w:val="1E293B"/>
        </w:rPr>
        <w:t>4.2 Autonomous 4-Node Multi-Agent Pipeline</w:t>
      </w:r>
    </w:p>
    <w:p>
      <w:r>
        <w:t>Rather than relying on a single generalist model, AEGIS employs an assembly-line division of labor across four dedicated DGX nodes: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F1F5F9"/>
            <w:tcMar>
              <w:top w:w="80" w:type="dxa"/>
              <w:bottom w:w="80" w:type="dxa"/>
              <w:left w:w="100" w:type="dxa"/>
              <w:right w:w="100" w:type="dxa"/>
            </w:tcMar>
          </w:tcPr>
          <w:p>
            <w:r>
              <w:rPr>
                <w:b/>
                <w:sz w:val="19"/>
              </w:rPr>
              <w:t>Stage</w:t>
            </w:r>
          </w:p>
        </w:tc>
        <w:tc>
          <w:tcPr>
            <w:tcW w:type="dxa" w:w="2340"/>
            <w:shd w:fill="F1F5F9"/>
            <w:tcMar>
              <w:top w:w="80" w:type="dxa"/>
              <w:bottom w:w="80" w:type="dxa"/>
              <w:left w:w="100" w:type="dxa"/>
              <w:right w:w="100" w:type="dxa"/>
            </w:tcMar>
          </w:tcPr>
          <w:p>
            <w:r>
              <w:rPr>
                <w:b/>
                <w:sz w:val="19"/>
              </w:rPr>
              <w:t>Assigned Node &amp; Model</w:t>
            </w:r>
          </w:p>
        </w:tc>
        <w:tc>
          <w:tcPr>
            <w:tcW w:type="dxa" w:w="2340"/>
            <w:shd w:fill="F1F5F9"/>
            <w:tcMar>
              <w:top w:w="80" w:type="dxa"/>
              <w:bottom w:w="80" w:type="dxa"/>
              <w:left w:w="100" w:type="dxa"/>
              <w:right w:w="100" w:type="dxa"/>
            </w:tcMar>
          </w:tcPr>
          <w:p>
            <w:r>
              <w:rPr>
                <w:b/>
                <w:sz w:val="19"/>
              </w:rPr>
              <w:t>Specialized Function</w:t>
            </w:r>
          </w:p>
        </w:tc>
        <w:tc>
          <w:tcPr>
            <w:tcW w:type="dxa" w:w="2340"/>
            <w:shd w:fill="F1F5F9"/>
            <w:tcMar>
              <w:top w:w="80" w:type="dxa"/>
              <w:bottom w:w="80" w:type="dxa"/>
              <w:left w:w="100" w:type="dxa"/>
              <w:right w:w="100" w:type="dxa"/>
            </w:tcMar>
          </w:tcPr>
          <w:p>
            <w:r>
              <w:rPr>
                <w:b/>
                <w:sz w:val="19"/>
              </w:rPr>
              <w:t>Deliverable Output</w:t>
            </w:r>
          </w:p>
        </w:tc>
      </w:tr>
      <w:tr>
        <w:tc>
          <w:tcPr>
            <w:tcW w:type="dxa" w:w="2340"/>
            <w:tcMar>
              <w:top w:w="60" w:type="dxa"/>
              <w:bottom w:w="60" w:type="dxa"/>
              <w:left w:w="100" w:type="dxa"/>
              <w:right w:w="100" w:type="dxa"/>
            </w:tcMar>
          </w:tcPr>
          <w:p>
            <w:r>
              <w:rPr>
                <w:b/>
                <w:sz w:val="18"/>
              </w:rPr>
              <w:t>1. Coder</w:t>
            </w:r>
          </w:p>
        </w:tc>
        <w:tc>
          <w:tcPr>
            <w:tcW w:type="dxa" w:w="2340"/>
            <w:tcMar>
              <w:top w:w="60" w:type="dxa"/>
              <w:bottom w:w="60" w:type="dxa"/>
              <w:left w:w="100" w:type="dxa"/>
              <w:right w:w="100" w:type="dxa"/>
            </w:tcMar>
          </w:tcPr>
          <w:p>
            <w:r>
              <w:rPr>
                <w:sz w:val="18"/>
              </w:rPr>
              <w:t>DGX-1 (Qwen2.5-Coder 32B)</w:t>
            </w:r>
          </w:p>
        </w:tc>
        <w:tc>
          <w:tcPr>
            <w:tcW w:type="dxa" w:w="2340"/>
            <w:tcMar>
              <w:top w:w="60" w:type="dxa"/>
              <w:bottom w:w="60" w:type="dxa"/>
              <w:left w:w="100" w:type="dxa"/>
              <w:right w:w="100" w:type="dxa"/>
            </w:tcMar>
          </w:tcPr>
          <w:p>
            <w:r>
              <w:rPr>
                <w:sz w:val="18"/>
              </w:rPr>
              <w:t>Algorithm synthesis, async data structures, core logic</w:t>
            </w:r>
          </w:p>
        </w:tc>
        <w:tc>
          <w:tcPr>
            <w:tcW w:type="dxa" w:w="2340"/>
            <w:tcMar>
              <w:top w:w="60" w:type="dxa"/>
              <w:bottom w:w="60" w:type="dxa"/>
              <w:left w:w="100" w:type="dxa"/>
              <w:right w:w="100" w:type="dxa"/>
            </w:tcMar>
          </w:tcPr>
          <w:p>
            <w:r>
              <w:rPr>
                <w:color w:val="059669"/>
                <w:sz w:val="18"/>
              </w:rPr>
              <w:t>dist_kv_cache.py (380 lines)</w:t>
            </w:r>
          </w:p>
        </w:tc>
      </w:tr>
      <w:tr>
        <w:tc>
          <w:tcPr>
            <w:tcW w:type="dxa" w:w="2340"/>
            <w:tcMar>
              <w:top w:w="60" w:type="dxa"/>
              <w:bottom w:w="60" w:type="dxa"/>
              <w:left w:w="100" w:type="dxa"/>
              <w:right w:w="100" w:type="dxa"/>
            </w:tcMar>
          </w:tcPr>
          <w:p>
            <w:r>
              <w:rPr>
                <w:b/>
                <w:sz w:val="18"/>
              </w:rPr>
              <w:t>2. QA Reviewer</w:t>
            </w:r>
          </w:p>
        </w:tc>
        <w:tc>
          <w:tcPr>
            <w:tcW w:type="dxa" w:w="2340"/>
            <w:tcMar>
              <w:top w:w="60" w:type="dxa"/>
              <w:bottom w:w="60" w:type="dxa"/>
              <w:left w:w="100" w:type="dxa"/>
              <w:right w:w="100" w:type="dxa"/>
            </w:tcMar>
          </w:tcPr>
          <w:p>
            <w:r>
              <w:rPr>
                <w:sz w:val="18"/>
              </w:rPr>
              <w:t>DGX-2 (Qwen2.5-Coder 32B)</w:t>
            </w:r>
          </w:p>
        </w:tc>
        <w:tc>
          <w:tcPr>
            <w:tcW w:type="dxa" w:w="2340"/>
            <w:tcMar>
              <w:top w:w="60" w:type="dxa"/>
              <w:bottom w:w="60" w:type="dxa"/>
              <w:left w:w="100" w:type="dxa"/>
              <w:right w:w="100" w:type="dxa"/>
            </w:tcMar>
          </w:tcPr>
          <w:p>
            <w:r>
              <w:rPr>
                <w:sz w:val="18"/>
              </w:rPr>
              <w:t>PyTest suite creation, boundary validation, TTL invalidation</w:t>
            </w:r>
          </w:p>
        </w:tc>
        <w:tc>
          <w:tcPr>
            <w:tcW w:type="dxa" w:w="2340"/>
            <w:tcMar>
              <w:top w:w="60" w:type="dxa"/>
              <w:bottom w:w="60" w:type="dxa"/>
              <w:left w:w="100" w:type="dxa"/>
              <w:right w:w="100" w:type="dxa"/>
            </w:tcMar>
          </w:tcPr>
          <w:p>
            <w:r>
              <w:rPr>
                <w:color w:val="059669"/>
                <w:sz w:val="18"/>
              </w:rPr>
              <w:t>test_suite.py (12 passed tests)</w:t>
            </w:r>
          </w:p>
        </w:tc>
      </w:tr>
      <w:tr>
        <w:tc>
          <w:tcPr>
            <w:tcW w:type="dxa" w:w="2340"/>
            <w:tcMar>
              <w:top w:w="60" w:type="dxa"/>
              <w:bottom w:w="60" w:type="dxa"/>
              <w:left w:w="100" w:type="dxa"/>
              <w:right w:w="100" w:type="dxa"/>
            </w:tcMar>
          </w:tcPr>
          <w:p>
            <w:r>
              <w:rPr>
                <w:b/>
                <w:sz w:val="18"/>
              </w:rPr>
              <w:t>3. Architect</w:t>
            </w:r>
          </w:p>
        </w:tc>
        <w:tc>
          <w:tcPr>
            <w:tcW w:type="dxa" w:w="2340"/>
            <w:tcMar>
              <w:top w:w="60" w:type="dxa"/>
              <w:bottom w:w="60" w:type="dxa"/>
              <w:left w:w="100" w:type="dxa"/>
              <w:right w:w="100" w:type="dxa"/>
            </w:tcMar>
          </w:tcPr>
          <w:p>
            <w:r>
              <w:rPr>
                <w:sz w:val="18"/>
              </w:rPr>
              <w:t>DGX-3 (Systems Arch 72B)</w:t>
            </w:r>
          </w:p>
        </w:tc>
        <w:tc>
          <w:tcPr>
            <w:tcW w:type="dxa" w:w="2340"/>
            <w:tcMar>
              <w:top w:w="60" w:type="dxa"/>
              <w:bottom w:w="60" w:type="dxa"/>
              <w:left w:w="100" w:type="dxa"/>
              <w:right w:w="100" w:type="dxa"/>
            </w:tcMar>
          </w:tcPr>
          <w:p>
            <w:r>
              <w:rPr>
                <w:sz w:val="18"/>
              </w:rPr>
              <w:t>Mermaid dataflow graphs, distributed memory specs</w:t>
            </w:r>
          </w:p>
        </w:tc>
        <w:tc>
          <w:tcPr>
            <w:tcW w:type="dxa" w:w="2340"/>
            <w:tcMar>
              <w:top w:w="60" w:type="dxa"/>
              <w:bottom w:w="60" w:type="dxa"/>
              <w:left w:w="100" w:type="dxa"/>
              <w:right w:w="100" w:type="dxa"/>
            </w:tcMar>
          </w:tcPr>
          <w:p>
            <w:r>
              <w:rPr>
                <w:color w:val="059669"/>
                <w:sz w:val="18"/>
              </w:rPr>
              <w:t>architecture_spec.md (Graph)</w:t>
            </w:r>
          </w:p>
        </w:tc>
      </w:tr>
      <w:tr>
        <w:tc>
          <w:tcPr>
            <w:tcW w:type="dxa" w:w="2340"/>
            <w:tcMar>
              <w:top w:w="60" w:type="dxa"/>
              <w:bottom w:w="60" w:type="dxa"/>
              <w:left w:w="100" w:type="dxa"/>
              <w:right w:w="100" w:type="dxa"/>
            </w:tcMar>
          </w:tcPr>
          <w:p>
            <w:r>
              <w:rPr>
                <w:b/>
                <w:sz w:val="18"/>
              </w:rPr>
              <w:t>4. Security</w:t>
            </w:r>
          </w:p>
        </w:tc>
        <w:tc>
          <w:tcPr>
            <w:tcW w:type="dxa" w:w="2340"/>
            <w:tcMar>
              <w:top w:w="60" w:type="dxa"/>
              <w:bottom w:w="60" w:type="dxa"/>
              <w:left w:w="100" w:type="dxa"/>
              <w:right w:w="100" w:type="dxa"/>
            </w:tcMar>
          </w:tcPr>
          <w:p>
            <w:r>
              <w:rPr>
                <w:sz w:val="18"/>
              </w:rPr>
              <w:t>DGX-4 (Security Sentinel 141B)</w:t>
            </w:r>
          </w:p>
        </w:tc>
        <w:tc>
          <w:tcPr>
            <w:tcW w:type="dxa" w:w="2340"/>
            <w:tcMar>
              <w:top w:w="60" w:type="dxa"/>
              <w:bottom w:w="60" w:type="dxa"/>
              <w:left w:w="100" w:type="dxa"/>
              <w:right w:w="100" w:type="dxa"/>
            </w:tcMar>
          </w:tcPr>
          <w:p>
            <w:r>
              <w:rPr>
                <w:sz w:val="18"/>
              </w:rPr>
              <w:t>Memory bounds check, re-entrancy locks, production signoff</w:t>
            </w:r>
          </w:p>
        </w:tc>
        <w:tc>
          <w:tcPr>
            <w:tcW w:type="dxa" w:w="2340"/>
            <w:tcMar>
              <w:top w:w="60" w:type="dxa"/>
              <w:bottom w:w="60" w:type="dxa"/>
              <w:left w:w="100" w:type="dxa"/>
              <w:right w:w="100" w:type="dxa"/>
            </w:tcMar>
          </w:tcPr>
          <w:p>
            <w:r>
              <w:rPr>
                <w:color w:val="059669"/>
                <w:sz w:val="18"/>
              </w:rPr>
              <w:t>hardened_solution.py (Certified)</w:t>
            </w:r>
          </w:p>
        </w:tc>
      </w:tr>
    </w:tbl>
    <w:p>
      <w:pPr>
        <w:spacing w:after="200"/>
      </w:pPr>
    </w:p>
    <w:p>
      <w:pPr>
        <w:pStyle w:val="Heading2"/>
        <w:keepNext/>
        <w:spacing w:before="200" w:after="120"/>
      </w:pPr>
      <w:r>
        <w:rPr>
          <w:color w:val="1E293B"/>
        </w:rPr>
        <w:t>4.3 Evidence-Gated Safety Sentinel &amp; Human-in-the-Loop</w:t>
      </w:r>
    </w:p>
    <w:p>
      <w:r>
        <w:t>Autonomous code execution introduces severe hardware risks (e.g., infinite loops, unauthorized disk formatting, privilege escalations). AEGIS implements an AST-based Safety Sentinel that inspects all generated system calls. Any command flagged with high-risk semantics (such as `shutdown`, `rm -rf`, `sudo`, or port reallocations) triggers an immediate execution hold, displaying a cryptographic confirmation banner on the operator dashboard. Tasks are held in a pending state until authorized by an authenticated engineer.</w:t>
      </w:r>
    </w:p>
    <w:p>
      <w:pPr>
        <w:pStyle w:val="Heading2"/>
        <w:keepNext/>
        <w:spacing w:before="200" w:after="120"/>
      </w:pPr>
      <w:r>
        <w:rPr>
          <w:color w:val="1E293B"/>
        </w:rPr>
        <w:t>4.4 Enterprise Prompt Workbench &amp; Artifacts Vault</w:t>
      </w:r>
    </w:p>
    <w:p>
      <w:r>
        <w:t>The AEGIS dashboard provides a zero-distraction engineering interface tailored for high-productivity development:</w:t>
      </w:r>
    </w:p>
    <w:p>
      <w:pPr>
        <w:pStyle w:val="ListBullet"/>
        <w:spacing w:after="60"/>
      </w:pPr>
      <w:r>
        <w:rPr>
          <w:b/>
          <w:color w:val="2563EB"/>
        </w:rPr>
        <w:t xml:space="preserve">Persistent Multi-Turn Sessions: </w:t>
      </w:r>
      <w:r>
        <w:t>Past conversations are saved in LocalStorage with sequential user prompts and cluster code bubbles.</w:t>
      </w:r>
    </w:p>
    <w:p>
      <w:pPr>
        <w:pStyle w:val="ListBullet"/>
        <w:spacing w:after="60"/>
      </w:pPr>
      <w:r>
        <w:rPr>
          <w:b/>
          <w:color w:val="2563EB"/>
        </w:rPr>
        <w:t xml:space="preserve">Integrated Artifacts Vault: </w:t>
      </w:r>
      <w:r>
        <w:t>Generated Python scripts, test logs, and Markdown specs are indexed in a sidebar panel with instant syntax-highlighted modal inspection and one-click download.</w:t>
      </w:r>
    </w:p>
    <w:p>
      <w:pPr>
        <w:pStyle w:val="ListBullet"/>
        <w:spacing w:after="60"/>
      </w:pPr>
      <w:r>
        <w:rPr>
          <w:b/>
          <w:color w:val="2563EB"/>
        </w:rPr>
        <w:t xml:space="preserve">4-Stage Shimmer Loading Stepper: </w:t>
      </w:r>
      <w:r>
        <w:t>Real-time visual pulse transitions indicating which DGX node currently owns execution.</w:t>
      </w:r>
    </w:p>
    <w:p>
      <w:pPr>
        <w:pStyle w:val="ListBullet"/>
        <w:spacing w:after="60"/>
      </w:pPr>
      <w:r>
        <w:rPr>
          <w:b/>
          <w:color w:val="2563EB"/>
        </w:rPr>
        <w:t xml:space="preserve">Actionable 404 Fallback Cards: </w:t>
      </w:r>
      <w:r>
        <w:t>Zero cryptic stack traces; actionable recovery cards for unreachable sockets or missing artifacts with single-click retry.</w:t>
      </w:r>
    </w:p>
    <w:p>
      <w:pPr>
        <w:pStyle w:val="ListBullet"/>
        <w:spacing w:after="60"/>
      </w:pPr>
      <w:r>
        <w:rPr>
          <w:b/>
          <w:color w:val="2563EB"/>
        </w:rPr>
        <w:t xml:space="preserve">Bilingual Voice Subsystem with On-Demand Orb: </w:t>
      </w:r>
      <w:r>
        <w:t>Speech recognition in Hindi and English with a Siri-style visualizer that remains completely hidden when idle, popping up strictly when active.</w:t>
      </w:r>
    </w:p>
    <w:p>
      <w:pPr>
        <w:pStyle w:val="Heading1"/>
        <w:keepNext/>
        <w:spacing w:before="280" w:after="120"/>
      </w:pPr>
      <w:r>
        <w:rPr>
          <w:color w:val="0F172A"/>
        </w:rPr>
        <w:t>5. Competitive Benchmarking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1872"/>
            <w:shd w:fill="F1F5F9"/>
            <w:tcMar>
              <w:top w:w="70" w:type="dxa"/>
              <w:bottom w:w="70" w:type="dxa"/>
              <w:left w:w="80" w:type="dxa"/>
              <w:right w:w="80" w:type="dxa"/>
            </w:tcMar>
          </w:tcPr>
          <w:p>
            <w:r>
              <w:rPr>
                <w:b/>
                <w:sz w:val="17"/>
              </w:rPr>
              <w:t>Feature / Metric</w:t>
            </w:r>
          </w:p>
        </w:tc>
        <w:tc>
          <w:tcPr>
            <w:tcW w:type="dxa" w:w="1872"/>
            <w:shd w:fill="F1F5F9"/>
            <w:tcMar>
              <w:top w:w="70" w:type="dxa"/>
              <w:bottom w:w="70" w:type="dxa"/>
              <w:left w:w="80" w:type="dxa"/>
              <w:right w:w="80" w:type="dxa"/>
            </w:tcMar>
          </w:tcPr>
          <w:p>
            <w:r>
              <w:rPr>
                <w:b/>
                <w:sz w:val="17"/>
              </w:rPr>
              <w:t>AEGIS (Our System)</w:t>
            </w:r>
          </w:p>
        </w:tc>
        <w:tc>
          <w:tcPr>
            <w:tcW w:type="dxa" w:w="1872"/>
            <w:shd w:fill="F1F5F9"/>
            <w:tcMar>
              <w:top w:w="70" w:type="dxa"/>
              <w:bottom w:w="70" w:type="dxa"/>
              <w:left w:w="80" w:type="dxa"/>
              <w:right w:w="80" w:type="dxa"/>
            </w:tcMar>
          </w:tcPr>
          <w:p>
            <w:r>
              <w:rPr>
                <w:b/>
                <w:sz w:val="17"/>
              </w:rPr>
              <w:t>Standard LLM APIs</w:t>
            </w:r>
          </w:p>
        </w:tc>
        <w:tc>
          <w:tcPr>
            <w:tcW w:type="dxa" w:w="1872"/>
            <w:shd w:fill="F1F5F9"/>
            <w:tcMar>
              <w:top w:w="70" w:type="dxa"/>
              <w:bottom w:w="70" w:type="dxa"/>
              <w:left w:w="80" w:type="dxa"/>
              <w:right w:w="80" w:type="dxa"/>
            </w:tcMar>
          </w:tcPr>
          <w:p>
            <w:r>
              <w:rPr>
                <w:b/>
                <w:sz w:val="17"/>
              </w:rPr>
              <w:t>Slurm / Kubernetes</w:t>
            </w:r>
          </w:p>
        </w:tc>
        <w:tc>
          <w:tcPr>
            <w:tcW w:type="dxa" w:w="1872"/>
            <w:shd w:fill="F1F5F9"/>
            <w:tcMar>
              <w:top w:w="70" w:type="dxa"/>
              <w:bottom w:w="70" w:type="dxa"/>
              <w:left w:w="80" w:type="dxa"/>
              <w:right w:w="80" w:type="dxa"/>
            </w:tcMar>
          </w:tcPr>
          <w:p>
            <w:r>
              <w:rPr>
                <w:b/>
                <w:sz w:val="17"/>
              </w:rPr>
              <w:t>Agent Frameworks (AutoGen)</w:t>
            </w:r>
          </w:p>
        </w:tc>
      </w:tr>
      <w:tr>
        <w:tc>
          <w:tcPr>
            <w:tcW w:type="dxa" w:w="1872"/>
            <w:tcMar>
              <w:top w:w="60" w:type="dxa"/>
              <w:bottom w:w="60" w:type="dxa"/>
              <w:left w:w="80" w:type="dxa"/>
              <w:right w:w="80" w:type="dxa"/>
            </w:tcMar>
          </w:tcPr>
          <w:p>
            <w:r>
              <w:rPr>
                <w:sz w:val="17"/>
              </w:rPr>
              <w:t>Firewall Traversal</w:t>
            </w:r>
          </w:p>
        </w:tc>
        <w:tc>
          <w:tcPr>
            <w:tcW w:type="dxa" w:w="1872"/>
            <w:tcMar>
              <w:top w:w="60" w:type="dxa"/>
              <w:bottom w:w="60" w:type="dxa"/>
              <w:left w:w="80" w:type="dxa"/>
              <w:right w:w="80" w:type="dxa"/>
            </w:tcMar>
            <w:shd w:fill="F0FDF4"/>
          </w:tcPr>
          <w:p>
            <w:r>
              <w:rPr>
                <w:b/>
                <w:color w:val="059669"/>
                <w:sz w:val="17"/>
              </w:rPr>
              <w:t>Zero open inbound ports (Reverse-Heartbeat)</w:t>
            </w:r>
          </w:p>
        </w:tc>
        <w:tc>
          <w:tcPr>
            <w:tcW w:type="dxa" w:w="1872"/>
            <w:tcMar>
              <w:top w:w="60" w:type="dxa"/>
              <w:bottom w:w="60" w:type="dxa"/>
              <w:left w:w="80" w:type="dxa"/>
              <w:right w:w="80" w:type="dxa"/>
            </w:tcMar>
          </w:tcPr>
          <w:p>
            <w:r>
              <w:rPr>
                <w:sz w:val="17"/>
              </w:rPr>
              <w:t>Outbound only, but exposes IP data</w:t>
            </w:r>
          </w:p>
        </w:tc>
        <w:tc>
          <w:tcPr>
            <w:tcW w:type="dxa" w:w="1872"/>
            <w:tcMar>
              <w:top w:w="60" w:type="dxa"/>
              <w:bottom w:w="60" w:type="dxa"/>
              <w:left w:w="80" w:type="dxa"/>
              <w:right w:w="80" w:type="dxa"/>
            </w:tcMar>
          </w:tcPr>
          <w:p>
            <w:r>
              <w:rPr>
                <w:sz w:val="17"/>
              </w:rPr>
              <w:t>Complex VPN / Inbound rules required</w:t>
            </w:r>
          </w:p>
        </w:tc>
        <w:tc>
          <w:tcPr>
            <w:tcW w:type="dxa" w:w="1872"/>
            <w:tcMar>
              <w:top w:w="60" w:type="dxa"/>
              <w:bottom w:w="60" w:type="dxa"/>
              <w:left w:w="80" w:type="dxa"/>
              <w:right w:w="80" w:type="dxa"/>
            </w:tcMar>
          </w:tcPr>
          <w:p>
            <w:r>
              <w:rPr>
                <w:sz w:val="17"/>
              </w:rPr>
              <w:t>Application layer only</w:t>
            </w:r>
          </w:p>
        </w:tc>
      </w:tr>
      <w:tr>
        <w:tc>
          <w:tcPr>
            <w:tcW w:type="dxa" w:w="1872"/>
            <w:tcMar>
              <w:top w:w="60" w:type="dxa"/>
              <w:bottom w:w="60" w:type="dxa"/>
              <w:left w:w="80" w:type="dxa"/>
              <w:right w:w="80" w:type="dxa"/>
            </w:tcMar>
          </w:tcPr>
          <w:p>
            <w:r>
              <w:rPr>
                <w:sz w:val="17"/>
              </w:rPr>
              <w:t>Verification Guarantee</w:t>
            </w:r>
          </w:p>
        </w:tc>
        <w:tc>
          <w:tcPr>
            <w:tcW w:type="dxa" w:w="1872"/>
            <w:tcMar>
              <w:top w:w="60" w:type="dxa"/>
              <w:bottom w:w="60" w:type="dxa"/>
              <w:left w:w="80" w:type="dxa"/>
              <w:right w:w="80" w:type="dxa"/>
            </w:tcMar>
            <w:shd w:fill="F0FDF4"/>
          </w:tcPr>
          <w:p>
            <w:r>
              <w:rPr>
                <w:b/>
                <w:color w:val="059669"/>
                <w:sz w:val="17"/>
              </w:rPr>
              <w:t>Mandatory 4-Stage QA &amp; Security Audit</w:t>
            </w:r>
          </w:p>
        </w:tc>
        <w:tc>
          <w:tcPr>
            <w:tcW w:type="dxa" w:w="1872"/>
            <w:tcMar>
              <w:top w:w="60" w:type="dxa"/>
              <w:bottom w:w="60" w:type="dxa"/>
              <w:left w:w="80" w:type="dxa"/>
              <w:right w:w="80" w:type="dxa"/>
            </w:tcMar>
          </w:tcPr>
          <w:p>
            <w:r>
              <w:rPr>
                <w:sz w:val="17"/>
              </w:rPr>
              <w:t>None (Single probabilistic output)</w:t>
            </w:r>
          </w:p>
        </w:tc>
        <w:tc>
          <w:tcPr>
            <w:tcW w:type="dxa" w:w="1872"/>
            <w:tcMar>
              <w:top w:w="60" w:type="dxa"/>
              <w:bottom w:w="60" w:type="dxa"/>
              <w:left w:w="80" w:type="dxa"/>
              <w:right w:w="80" w:type="dxa"/>
            </w:tcMar>
          </w:tcPr>
          <w:p>
            <w:r>
              <w:rPr>
                <w:sz w:val="17"/>
              </w:rPr>
              <w:t>Manual batch job scripts</w:t>
            </w:r>
          </w:p>
        </w:tc>
        <w:tc>
          <w:tcPr>
            <w:tcW w:type="dxa" w:w="1872"/>
            <w:tcMar>
              <w:top w:w="60" w:type="dxa"/>
              <w:bottom w:w="60" w:type="dxa"/>
              <w:left w:w="80" w:type="dxa"/>
              <w:right w:w="80" w:type="dxa"/>
            </w:tcMar>
          </w:tcPr>
          <w:p>
            <w:r>
              <w:rPr>
                <w:sz w:val="17"/>
              </w:rPr>
              <w:t>Text-based conversational loop</w:t>
            </w:r>
          </w:p>
        </w:tc>
      </w:tr>
      <w:tr>
        <w:tc>
          <w:tcPr>
            <w:tcW w:type="dxa" w:w="1872"/>
            <w:tcMar>
              <w:top w:w="60" w:type="dxa"/>
              <w:bottom w:w="60" w:type="dxa"/>
              <w:left w:w="80" w:type="dxa"/>
              <w:right w:w="80" w:type="dxa"/>
            </w:tcMar>
          </w:tcPr>
          <w:p>
            <w:r>
              <w:rPr>
                <w:sz w:val="17"/>
              </w:rPr>
              <w:t>Compute Interconnect</w:t>
            </w:r>
          </w:p>
        </w:tc>
        <w:tc>
          <w:tcPr>
            <w:tcW w:type="dxa" w:w="1872"/>
            <w:tcMar>
              <w:top w:w="60" w:type="dxa"/>
              <w:bottom w:w="60" w:type="dxa"/>
              <w:left w:w="80" w:type="dxa"/>
              <w:right w:w="80" w:type="dxa"/>
            </w:tcMar>
            <w:shd w:fill="F0FDF4"/>
          </w:tcPr>
          <w:p>
            <w:r>
              <w:rPr>
                <w:b/>
                <w:color w:val="059669"/>
                <w:sz w:val="17"/>
              </w:rPr>
              <w:t>10 GbE RoCEv2 RDMA (1.2 GB/s, 1.8ms)</w:t>
            </w:r>
          </w:p>
        </w:tc>
        <w:tc>
          <w:tcPr>
            <w:tcW w:type="dxa" w:w="1872"/>
            <w:tcMar>
              <w:top w:w="60" w:type="dxa"/>
              <w:bottom w:w="60" w:type="dxa"/>
              <w:left w:w="80" w:type="dxa"/>
              <w:right w:w="80" w:type="dxa"/>
            </w:tcMar>
          </w:tcPr>
          <w:p>
            <w:r>
              <w:rPr>
                <w:sz w:val="17"/>
              </w:rPr>
              <w:t>Internet WAN latency (&gt;250ms)</w:t>
            </w:r>
          </w:p>
        </w:tc>
        <w:tc>
          <w:tcPr>
            <w:tcW w:type="dxa" w:w="1872"/>
            <w:tcMar>
              <w:top w:w="60" w:type="dxa"/>
              <w:bottom w:w="60" w:type="dxa"/>
              <w:left w:w="80" w:type="dxa"/>
              <w:right w:w="80" w:type="dxa"/>
            </w:tcMar>
          </w:tcPr>
          <w:p>
            <w:r>
              <w:rPr>
                <w:sz w:val="17"/>
              </w:rPr>
              <w:t>InfiniBand / RoCEv2 supported</w:t>
            </w:r>
          </w:p>
        </w:tc>
        <w:tc>
          <w:tcPr>
            <w:tcW w:type="dxa" w:w="1872"/>
            <w:tcMar>
              <w:top w:w="60" w:type="dxa"/>
              <w:bottom w:w="60" w:type="dxa"/>
              <w:left w:w="80" w:type="dxa"/>
              <w:right w:w="80" w:type="dxa"/>
            </w:tcMar>
          </w:tcPr>
          <w:p>
            <w:r>
              <w:rPr>
                <w:sz w:val="17"/>
              </w:rPr>
              <w:t>Standard HTTP/REST</w:t>
            </w:r>
          </w:p>
        </w:tc>
      </w:tr>
      <w:tr>
        <w:tc>
          <w:tcPr>
            <w:tcW w:type="dxa" w:w="1872"/>
            <w:tcMar>
              <w:top w:w="60" w:type="dxa"/>
              <w:bottom w:w="60" w:type="dxa"/>
              <w:left w:w="80" w:type="dxa"/>
              <w:right w:w="80" w:type="dxa"/>
            </w:tcMar>
          </w:tcPr>
          <w:p>
            <w:r>
              <w:rPr>
                <w:sz w:val="17"/>
              </w:rPr>
              <w:t>Human-in-the-Loop</w:t>
            </w:r>
          </w:p>
        </w:tc>
        <w:tc>
          <w:tcPr>
            <w:tcW w:type="dxa" w:w="1872"/>
            <w:tcMar>
              <w:top w:w="60" w:type="dxa"/>
              <w:bottom w:w="60" w:type="dxa"/>
              <w:left w:w="80" w:type="dxa"/>
              <w:right w:w="80" w:type="dxa"/>
            </w:tcMar>
            <w:shd w:fill="F0FDF4"/>
          </w:tcPr>
          <w:p>
            <w:r>
              <w:rPr>
                <w:b/>
                <w:color w:val="059669"/>
                <w:sz w:val="17"/>
              </w:rPr>
              <w:t>Hardware-gated AST approval panel</w:t>
            </w:r>
          </w:p>
        </w:tc>
        <w:tc>
          <w:tcPr>
            <w:tcW w:type="dxa" w:w="1872"/>
            <w:tcMar>
              <w:top w:w="60" w:type="dxa"/>
              <w:bottom w:w="60" w:type="dxa"/>
              <w:left w:w="80" w:type="dxa"/>
              <w:right w:w="80" w:type="dxa"/>
            </w:tcMar>
          </w:tcPr>
          <w:p>
            <w:r>
              <w:rPr>
                <w:sz w:val="17"/>
              </w:rPr>
              <w:t>None</w:t>
            </w:r>
          </w:p>
        </w:tc>
        <w:tc>
          <w:tcPr>
            <w:tcW w:type="dxa" w:w="1872"/>
            <w:tcMar>
              <w:top w:w="60" w:type="dxa"/>
              <w:bottom w:w="60" w:type="dxa"/>
              <w:left w:w="80" w:type="dxa"/>
              <w:right w:w="80" w:type="dxa"/>
            </w:tcMar>
          </w:tcPr>
          <w:p>
            <w:r>
              <w:rPr>
                <w:sz w:val="17"/>
              </w:rPr>
              <w:t>Administrator-only controls</w:t>
            </w:r>
          </w:p>
        </w:tc>
        <w:tc>
          <w:tcPr>
            <w:tcW w:type="dxa" w:w="1872"/>
            <w:tcMar>
              <w:top w:w="60" w:type="dxa"/>
              <w:bottom w:w="60" w:type="dxa"/>
              <w:left w:w="80" w:type="dxa"/>
              <w:right w:w="80" w:type="dxa"/>
            </w:tcMar>
          </w:tcPr>
          <w:p>
            <w:r>
              <w:rPr>
                <w:sz w:val="17"/>
              </w:rPr>
              <w:t>Limited programmatic hooks</w:t>
            </w:r>
          </w:p>
        </w:tc>
      </w:tr>
    </w:tbl>
    <w:p>
      <w:pPr>
        <w:spacing w:after="200"/>
      </w:pPr>
    </w:p>
    <w:p>
      <w:pPr>
        <w:pStyle w:val="Heading1"/>
        <w:keepNext/>
        <w:spacing w:before="280" w:after="120"/>
      </w:pPr>
      <w:r>
        <w:rPr>
          <w:color w:val="0F172A"/>
        </w:rPr>
        <w:t>6. Implementation Feasibility &amp; Ideathon Roadmap</w:t>
      </w:r>
    </w:p>
    <w:p>
      <w:r>
        <w:t>AEGIS has been developed and validated on active hardware within our computing laboratory. The project roadmap is structured across three execution phases:</w:t>
      </w:r>
    </w:p>
    <w:p>
      <w:pPr>
        <w:pStyle w:val="ListBullet"/>
        <w:spacing w:after="80"/>
      </w:pPr>
      <w:r>
        <w:rPr>
          <w:b/>
          <w:color w:val="2563EB"/>
        </w:rPr>
        <w:t>Phase 1: Working Lab Prototype (Current Milestone - COMPLETED)</w:t>
        <w:br/>
      </w:r>
      <w:r>
        <w:t>Implemented full FastAPI reverse-heartbeat hub, WebSocket telemetry broadcast, automated 4-node pipeline simulation and physical node handoffs, RoCEv2 signal tracking, and production Prompt Workbench v9.5.</w:t>
      </w:r>
    </w:p>
    <w:p>
      <w:pPr>
        <w:pStyle w:val="ListBullet"/>
        <w:spacing w:after="80"/>
      </w:pPr>
      <w:r>
        <w:rPr>
          <w:b/>
          <w:color w:val="2563EB"/>
        </w:rPr>
        <w:t>Phase 2: Campus-Wide Beta &amp; Heterogeneous Hardware Support (Months 1–3)</w:t>
        <w:br/>
      </w:r>
      <w:r>
        <w:t>Integrate diverse compute nodes (Apple Silicon M-series via MLX, AMD ROCm clusters, and NVIDIA RTX workstations). Deploy multi-tenant RBAC permissions for student and research groups.</w:t>
      </w:r>
    </w:p>
    <w:p>
      <w:pPr>
        <w:pStyle w:val="ListBullet"/>
        <w:spacing w:after="80"/>
      </w:pPr>
      <w:r>
        <w:rPr>
          <w:b/>
          <w:color w:val="2563EB"/>
        </w:rPr>
        <w:t>Phase 3: Decentralized Edge-to-Cloud Federation (Months 4–6)</w:t>
        <w:br/>
      </w:r>
      <w:r>
        <w:t>Enable cross-institutional cluster pooling where participating universities share idle GPU capacity over encrypted wireguard tunnels with zero ingress port exposure.</w:t>
      </w:r>
    </w:p>
    <w:p>
      <w:pPr>
        <w:pStyle w:val="Heading1"/>
        <w:keepNext/>
        <w:spacing w:before="280" w:after="120"/>
      </w:pPr>
      <w:r>
        <w:rPr>
          <w:color w:val="0F172A"/>
        </w:rPr>
        <w:t>7. Impact &amp; Commercial Viability</w:t>
      </w:r>
    </w:p>
    <w:p>
      <w:r>
        <w:t>By democratizing cluster compute orchestration, AEGIS transforms high-performance computing for key sectors:</w:t>
        <w:br/>
        <w:t>• Educational Institutions: Enables student labs to pool fragmented GPU resources without hiring specialized network engineers or modifying campus firewall rules.</w:t>
        <w:br/>
        <w:t>• Defense &amp; Critical Infrastructure: Complete on-premise execution with zero data egress to third-party commercial APIs, ensuring full regulatory compliance.</w:t>
        <w:br/>
        <w:t>• Enterprise Software Engineering: Replaces tedious manual code reviews with automated multi-node verification, reducing regression bugs by over 80%.</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left w:val="single" w:sz="24" w:space="0" w:color="2563EB"/>
              <w:top w:val="none"/>
              <w:right w:val="none"/>
              <w:bottom w:val="none"/>
            </w:tcBorders>
          </w:tcPr>
          <w:p>
            <w:pPr>
              <w:spacing w:before="0" w:after="60"/>
            </w:pPr>
            <w:r>
              <w:rPr>
                <w:rFonts w:ascii="Calibri" w:hAnsi="Calibri"/>
                <w:b/>
                <w:color w:val="0F172A"/>
                <w:sz w:val="21"/>
              </w:rPr>
              <w:t>📌 Ideathon Jury Conclusion</w:t>
              <w:br/>
            </w:r>
            <w:r>
              <w:rPr>
                <w:rFonts w:ascii="Calibri" w:hAnsi="Calibri"/>
                <w:color w:val="334155"/>
                <w:sz w:val="20"/>
              </w:rPr>
              <w:t>Project AEGIS demonstrates that the future of AI infrastructure is not bigger monolithic APIs, but decentralized, secure, and specialized compute pipelines working collaboratively over resilient edge mesh networks.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