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b/>
          <w:sz w:val="32"/>
        </w:rPr>
        <w:t>Project Synopsis</w:t>
        <w:br/>
        <w:t>on</w:t>
      </w:r>
    </w:p>
    <w:p>
      <w:pPr>
        <w:spacing w:before="120" w:after="360"/>
        <w:jc w:val="center"/>
      </w:pPr>
      <w:r>
        <w:rPr>
          <w:rFonts w:ascii="Times New Roman" w:hAnsi="Times New Roman"/>
          <w:b/>
          <w:sz w:val="36"/>
        </w:rPr>
        <w:t>Sovereign Industrial AI Workbench:</w:t>
        <w:br/>
        <w:t>Air-Gapped Autonomous Agentic Intelligence System</w:t>
        <w:br/>
        <w:t>for Critical Infrastructure &amp; SCADA Operations</w:t>
      </w:r>
    </w:p>
    <w:p>
      <w:pPr>
        <w:spacing w:before="240" w:after="360"/>
        <w:jc w:val="center"/>
      </w:pPr>
      <w:r>
        <w:rPr>
          <w:rFonts w:ascii="Times New Roman" w:hAnsi="Times New Roman"/>
          <w:sz w:val="26"/>
        </w:rPr>
        <w:t>Submitted in partial fulfillment</w:t>
        <w:br/>
        <w:t>for the award of the degree of</w:t>
        <w:br/>
        <w:br/>
      </w:r>
      <w:r>
        <w:rPr>
          <w:rFonts w:ascii="Times New Roman" w:hAnsi="Times New Roman"/>
          <w:b/>
          <w:sz w:val="28"/>
        </w:rPr>
        <w:t>Bachelor of Technology</w:t>
        <w:br/>
        <w:t>in</w:t>
        <w:br/>
        <w:t>Computer Science Engineering</w:t>
        <w:br/>
        <w:t>(Artificial Intelligence &amp; Machine Learning)</w:t>
      </w:r>
    </w:p>
    <w:p>
      <w:pPr>
        <w:spacing w:before="320" w:after="120"/>
        <w:jc w:val="center"/>
      </w:pPr>
      <w:r>
        <w:rPr>
          <w:rFonts w:ascii="Times New Roman" w:hAnsi="Times New Roman"/>
          <w:b/>
          <w:sz w:val="28"/>
        </w:rPr>
        <w:t>Submitted By</w:t>
      </w:r>
    </w:p>
    <w:tbl>
      <w:tblPr>
        <w:tblW w:type="auto" w:w="0"/>
        <w:jc w:val="center"/>
        <w:tblLook w:firstColumn="1" w:firstRow="1" w:lastColumn="0" w:lastRow="0" w:noHBand="0" w:noVBand="1" w:val="04A0"/>
      </w:tblPr>
      <w:tblGrid>
        <w:gridCol w:w="4514"/>
        <w:gridCol w:w="4514"/>
      </w:tblGrid>
      <w:tr>
        <w:tc>
          <w:tcPr>
            <w:tcW w:type="dxa" w:w="3168"/>
          </w:tcPr>
          <w:p>
            <w:pPr>
              <w:spacing w:before="40" w:after="40"/>
              <w:jc w:val="right"/>
            </w:pPr>
            <w:r>
              <w:rPr>
                <w:rFonts w:ascii="Times New Roman" w:hAnsi="Times New Roman"/>
                <w:b/>
                <w:sz w:val="26"/>
              </w:rPr>
              <w:t>Mukul</w:t>
            </w:r>
          </w:p>
        </w:tc>
        <w:tc>
          <w:tcPr>
            <w:tcW w:type="dxa" w:w="2880"/>
          </w:tcPr>
          <w:p>
            <w:pPr>
              <w:spacing w:before="40" w:after="40"/>
              <w:jc w:val="left"/>
            </w:pPr>
            <w:r>
              <w:rPr>
                <w:rFonts w:ascii="Times New Roman" w:hAnsi="Times New Roman"/>
                <w:b/>
                <w:sz w:val="26"/>
              </w:rPr>
              <w:t xml:space="preserve">       28240613</w:t>
            </w:r>
          </w:p>
        </w:tc>
      </w:tr>
      <w:tr>
        <w:tc>
          <w:tcPr>
            <w:tcW w:type="dxa" w:w="3168"/>
          </w:tcPr>
          <w:p>
            <w:pPr>
              <w:spacing w:before="40" w:after="40"/>
              <w:jc w:val="right"/>
            </w:pPr>
            <w:r>
              <w:rPr>
                <w:rFonts w:ascii="Times New Roman" w:hAnsi="Times New Roman"/>
                <w:b/>
                <w:sz w:val="26"/>
              </w:rPr>
              <w:t>Gaurav</w:t>
            </w:r>
          </w:p>
        </w:tc>
        <w:tc>
          <w:tcPr>
            <w:tcW w:type="dxa" w:w="2880"/>
          </w:tcPr>
          <w:p>
            <w:pPr>
              <w:spacing w:before="40" w:after="40"/>
              <w:jc w:val="left"/>
            </w:pPr>
            <w:r>
              <w:rPr>
                <w:rFonts w:ascii="Times New Roman" w:hAnsi="Times New Roman"/>
                <w:b/>
                <w:sz w:val="26"/>
              </w:rPr>
              <w:t xml:space="preserve">       28240582</w:t>
            </w:r>
          </w:p>
        </w:tc>
      </w:tr>
    </w:tbl>
    <w:p>
      <w:pPr>
        <w:spacing w:before="400" w:after="320"/>
        <w:jc w:val="center"/>
      </w:pPr>
      <w:r>
        <w:rPr>
          <w:rFonts w:ascii="Times New Roman" w:hAnsi="Times New Roman"/>
          <w:sz w:val="26"/>
        </w:rPr>
        <w:t>Under the Supervision of</w:t>
        <w:br/>
      </w:r>
      <w:r>
        <w:rPr>
          <w:rFonts w:ascii="Times New Roman" w:hAnsi="Times New Roman"/>
          <w:b/>
          <w:sz w:val="26"/>
        </w:rPr>
        <w:t>Dr. Richa Chaudhary</w:t>
        <w:br/>
      </w:r>
      <w:r>
        <w:rPr>
          <w:rFonts w:ascii="Times New Roman" w:hAnsi="Times New Roman"/>
          <w:sz w:val="24"/>
        </w:rPr>
        <w:t>Department of CSE (AI &amp; ML)</w:t>
      </w:r>
    </w:p>
    <w:p>
      <w:pPr>
        <w:spacing w:before="320" w:after="0"/>
        <w:jc w:val="center"/>
      </w:pPr>
      <w:r>
        <w:rPr>
          <w:rFonts w:ascii="Times New Roman" w:hAnsi="Times New Roman"/>
          <w:b/>
          <w:sz w:val="26"/>
        </w:rPr>
        <w:t>Panipat Institute of Engineering &amp; Technology,</w:t>
        <w:br/>
        <w:t>Samalkha, Panipat</w:t>
        <w:br/>
        <w:t>Affiliated to</w:t>
        <w:br/>
      </w:r>
      <w:r>
        <w:rPr>
          <w:rFonts w:ascii="Times New Roman" w:hAnsi="Times New Roman"/>
          <w:b/>
          <w:sz w:val="26"/>
        </w:rPr>
        <w:t>Kurukshetra University Kurukshetra, India</w:t>
        <w:br/>
        <w:t>(2025–2026)</w:t>
      </w:r>
    </w:p>
    <w:p>
      <w:r>
        <w:br w:type="page"/>
      </w:r>
    </w:p>
    <w:p>
      <w:pPr>
        <w:spacing w:before="600" w:after="400"/>
        <w:jc w:val="center"/>
      </w:pPr>
      <w:r>
        <w:rPr>
          <w:rFonts w:ascii="Times New Roman" w:hAnsi="Times New Roman"/>
          <w:b/>
          <w:sz w:val="30"/>
        </w:rPr>
        <w:t>Supervisor’s Consent</w:t>
      </w:r>
    </w:p>
    <w:tbl>
      <w:tblPr>
        <w:tblW w:type="auto" w:w="0"/>
        <w:jc w:val="center"/>
        <w:tblLook w:firstColumn="1" w:firstRow="1" w:lastColumn="0" w:lastRow="0" w:noHBand="0" w:noVBand="1" w:val="04A0"/>
      </w:tblPr>
      <w:tblGrid>
        <w:gridCol w:w="4514"/>
        <w:gridCol w:w="4514"/>
      </w:tblGrid>
      <w:tr>
        <w:tc>
          <w:tcPr>
            <w:tcW w:type="dxa" w:w="6768"/>
            <w:tcBorders>
              <w:top w:val="single" w:sz="6" w:space="0" w:color="000000"/>
              <w:left w:val="single" w:sz="6" w:space="0" w:color="000000"/>
              <w:bottom w:val="single" w:sz="6" w:space="0" w:color="000000"/>
              <w:right w:val="single" w:sz="6" w:space="0" w:color="000000"/>
            </w:tcBorders>
          </w:tcPr>
          <w:p>
            <w:pPr>
              <w:spacing w:before="120" w:after="120" w:line="276" w:lineRule="auto"/>
            </w:pPr>
            <w:r>
              <w:rPr>
                <w:rFonts w:ascii="Times New Roman" w:hAnsi="Times New Roman"/>
                <w:sz w:val="22"/>
              </w:rPr>
              <w:t xml:space="preserve">The synopsis of final year project work titled </w:t>
            </w:r>
            <w:r>
              <w:rPr>
                <w:rFonts w:ascii="Times New Roman" w:hAnsi="Times New Roman"/>
                <w:b/>
                <w:sz w:val="22"/>
              </w:rPr>
              <w:t xml:space="preserve">Sovereign Industrial AI Workbench: Air-Gapped Autonomous Agentic Intelligence System for Critical Infrastructure &amp; SCADA Operations </w:t>
            </w:r>
            <w:r>
              <w:rPr>
                <w:rFonts w:ascii="Times New Roman" w:hAnsi="Times New Roman"/>
                <w:sz w:val="22"/>
              </w:rPr>
              <w:t>by the students’ group id.………… has been written with my consent and every section of this synopsis report is reflecting the work to be carried out by the group.</w:t>
            </w:r>
          </w:p>
        </w:tc>
        <w:tc>
          <w:tcPr>
            <w:tcW w:type="dxa" w:w="2592"/>
            <w:tcBorders>
              <w:top w:val="single" w:sz="6" w:space="0" w:color="000000"/>
              <w:left w:val="single" w:sz="6" w:space="0" w:color="000000"/>
              <w:bottom w:val="single" w:sz="6" w:space="0" w:color="000000"/>
              <w:right w:val="single" w:sz="6" w:space="0" w:color="000000"/>
            </w:tcBorders>
          </w:tcPr>
          <w:p>
            <w:pPr>
              <w:spacing w:before="720" w:after="120"/>
              <w:jc w:val="center"/>
            </w:pPr>
            <w:r>
              <w:rPr>
                <w:rFonts w:ascii="Times New Roman" w:hAnsi="Times New Roman"/>
                <w:i/>
                <w:sz w:val="20"/>
              </w:rPr>
              <w:t>(Signature of</w:t>
              <w:br/>
              <w:t>supervisor with date)</w:t>
            </w:r>
          </w:p>
        </w:tc>
      </w:tr>
    </w:tbl>
    <w:p>
      <w:pPr>
        <w:spacing w:before="900" w:after="480"/>
        <w:jc w:val="center"/>
      </w:pPr>
      <w:r>
        <w:rPr>
          <w:rFonts w:ascii="Times New Roman" w:hAnsi="Times New Roman"/>
          <w:b/>
          <w:sz w:val="26"/>
        </w:rPr>
        <w:t>Department Project Evaluation Committee (DPEC) Remarks</w:t>
      </w:r>
    </w:p>
    <w:p>
      <w:pPr>
        <w:spacing w:before="240" w:after="240" w:line="300" w:lineRule="auto"/>
      </w:pPr>
      <w:r>
        <w:rPr>
          <w:rFonts w:ascii="Times New Roman" w:hAnsi="Times New Roman"/>
          <w:sz w:val="22"/>
        </w:rPr>
        <w:t>The project is ……………………….. by DPEC. The group is advised to submit progress of the project work in progress presentation1 to be held on……………………………………………….</w:t>
      </w:r>
    </w:p>
    <w:p>
      <w:pPr>
        <w:spacing w:before="320" w:after="320"/>
        <w:jc w:val="center"/>
      </w:pPr>
      <w:r>
        <w:rPr>
          <w:rFonts w:ascii="Times New Roman" w:hAnsi="Times New Roman"/>
          <w:b/>
          <w:sz w:val="24"/>
        </w:rPr>
        <w:t>OR</w:t>
      </w:r>
    </w:p>
    <w:p>
      <w:pPr>
        <w:spacing w:before="240" w:after="1200" w:line="300" w:lineRule="auto"/>
      </w:pPr>
      <w:r>
        <w:rPr>
          <w:rFonts w:ascii="Times New Roman" w:hAnsi="Times New Roman"/>
          <w:sz w:val="22"/>
        </w:rPr>
        <w:t>The project is ……………………….. by DPEC. The group is advised to submit the synopsis report again after making changes as suggested by DPEC on …………………........................................</w:t>
      </w:r>
    </w:p>
    <w:p>
      <w:pPr>
        <w:spacing w:before="800" w:after="0"/>
        <w:jc w:val="right"/>
      </w:pPr>
      <w:r>
        <w:rPr>
          <w:rFonts w:ascii="Times New Roman" w:hAnsi="Times New Roman"/>
          <w:sz w:val="22"/>
        </w:rPr>
        <w:t>Name &amp; Signature of DPEC member (s) with date</w:t>
      </w:r>
    </w:p>
    <w:p>
      <w:r>
        <w:br w:type="page"/>
      </w:r>
    </w:p>
    <w:p>
      <w:pPr>
        <w:spacing w:before="0" w:after="320"/>
        <w:jc w:val="center"/>
      </w:pPr>
      <w:r>
        <w:rPr>
          <w:rFonts w:ascii="Times New Roman" w:hAnsi="Times New Roman"/>
          <w:b/>
          <w:sz w:val="28"/>
        </w:rPr>
        <w:t>Sovereign Industrial AI Workbench:</w:t>
        <w:br/>
        <w:t>Air-Gapped Autonomous Agentic Intelligence System</w:t>
        <w:br/>
        <w:t>for Critical Infrastructure &amp; SCADA Operations</w:t>
      </w:r>
    </w:p>
    <w:p>
      <w:pPr>
        <w:spacing w:before="280" w:after="120"/>
      </w:pPr>
      <w:r>
        <w:rPr>
          <w:rFonts w:ascii="Times New Roman" w:hAnsi="Times New Roman"/>
          <w:b/>
          <w:sz w:val="26"/>
        </w:rPr>
        <w:t>1. Introduction</w:t>
      </w:r>
    </w:p>
    <w:p>
      <w:pPr>
        <w:spacing w:before="0" w:after="120" w:line="276" w:lineRule="auto"/>
        <w:jc w:val="both"/>
      </w:pPr>
      <w:r>
        <w:rPr>
          <w:rFonts w:ascii="Times New Roman" w:hAnsi="Times New Roman"/>
          <w:sz w:val="22"/>
        </w:rPr>
        <w:t>Critical industrial infrastructure—such as petroleum refineries, chemical processing plants, thermal power stations, and pipeline transport networks—operates under strict zero-trust regulatory mandates, trade secret protections, and physical safety constraints. In these high-consequence environments, commercial public cloud AI solutions cannot be deployed due to data sovereignty laws, corporate intellectual property sensitivity, and the severe risks of network air-gap contamination or cyber-kinetic sabotage. However, modern industrial facilities face acute operational challenges: senior engineering talent attrition, millions of multi-variable SCADA telemetry streams that exceed human cognitive processing bandwidth, unstandardized shift handovers, and catastrophic equipment failures that cost upwards of $500,000 per hour in unplanned downtime.</w:t>
      </w:r>
    </w:p>
    <w:p>
      <w:pPr>
        <w:spacing w:before="0" w:after="120" w:line="276" w:lineRule="auto"/>
        <w:jc w:val="both"/>
      </w:pPr>
      <w:r>
        <w:rPr>
          <w:rFonts w:ascii="Times New Roman" w:hAnsi="Times New Roman"/>
          <w:sz w:val="22"/>
        </w:rPr>
        <w:t>Recent breakthroughs in Small Language Models (SLMs), local vision-language architectures, and quantized neural inference engines enable running state-of-the-art artificial intelligence directly on on-premise hardware without external network dependencies. The Sovereign Industrial AI Workbench addresses this operational imperative by engineering a 100% self-hosted, air-gapped agentic intelligence desktop operating environment. Built specifically for critical plant infrastructure (demonstrated with Mangalore Refinery and Petrochemicals Limited – MRPL / SIH26117 requirements), the system unifies multi-model GGUF neural reasoning, real-time SCADA telemetry ingestion, physics-informed 3D WebGL digital twins, ISO 10816-3 vibration diagnostics, Safety Instrumented System (SIS) proof testing, and a cryptographically chained SHA-256 audit ledger. The platform bridges cutting-edge industrial artificial intelligence with deterministically enforced safety policies to empower plant operators and reliability engineers while guaranteeing zero cloud egress.</w:t>
      </w:r>
    </w:p>
    <w:p>
      <w:pPr>
        <w:spacing w:before="280" w:after="120"/>
      </w:pPr>
      <w:r>
        <w:rPr>
          <w:rFonts w:ascii="Times New Roman" w:hAnsi="Times New Roman"/>
          <w:b/>
          <w:sz w:val="26"/>
        </w:rPr>
        <w:t>2. Objective</w:t>
      </w:r>
    </w:p>
    <w:p>
      <w:pPr>
        <w:spacing w:before="0" w:after="120" w:line="276" w:lineRule="auto"/>
        <w:jc w:val="both"/>
      </w:pPr>
      <w:r>
        <w:rPr>
          <w:rFonts w:ascii="Times New Roman" w:hAnsi="Times New Roman"/>
          <w:sz w:val="22"/>
        </w:rPr>
        <w:t>The primary objective of this project is to develop and deploy a 100% sovereign, air-gapped agentic AI workbench capable of executing sub-second multi-model reasoning, multimodal engineering document analysis, and physics-coupled industrial machinery diagnostics entirely on local edge and workstation hardware (from RTX 4090 GPUs to NVIDIA DGX stations) with zero network egress.</w:t>
      </w:r>
    </w:p>
    <w:p>
      <w:pPr>
        <w:spacing w:before="0" w:after="120" w:line="276" w:lineRule="auto"/>
        <w:jc w:val="both"/>
      </w:pPr>
      <w:r>
        <w:rPr>
          <w:rFonts w:ascii="Times New Roman" w:hAnsi="Times New Roman"/>
          <w:sz w:val="22"/>
        </w:rPr>
        <w:t>The secondary objectives comprise:</w:t>
      </w:r>
    </w:p>
    <w:p>
      <w:pPr>
        <w:pStyle w:val="ListBullet"/>
        <w:spacing w:before="40" w:after="60" w:line="276" w:lineRule="auto"/>
        <w:jc w:val="both"/>
      </w:pPr>
      <w:r>
        <w:rPr>
          <w:rFonts w:ascii="Times New Roman" w:hAnsi="Times New Roman"/>
          <w:b/>
          <w:sz w:val="22"/>
        </w:rPr>
        <w:t xml:space="preserve">Multi-Model VRAM Memory Routing: </w:t>
      </w:r>
      <w:r>
        <w:rPr>
          <w:rFonts w:ascii="Times New Roman" w:hAnsi="Times New Roman"/>
          <w:sz w:val="22"/>
        </w:rPr>
        <w:t>Implement an intelligent memory manager that dynamically hot-swaps and arbitrates between a 500M intent organizer, a 3B domain code reasoning model, and a 3B Qwen2.5-VL multimodal vision model within a strict &lt;8 GB VRAM budget.</w:t>
      </w:r>
    </w:p>
    <w:p>
      <w:pPr>
        <w:pStyle w:val="ListBullet"/>
        <w:spacing w:before="40" w:after="60" w:line="276" w:lineRule="auto"/>
        <w:jc w:val="both"/>
      </w:pPr>
      <w:r>
        <w:rPr>
          <w:rFonts w:ascii="Times New Roman" w:hAnsi="Times New Roman"/>
          <w:b/>
          <w:sz w:val="22"/>
        </w:rPr>
        <w:t xml:space="preserve">Deterministic Fail-Closed Safety Interlocks: </w:t>
      </w:r>
      <w:r>
        <w:rPr>
          <w:rFonts w:ascii="Times New Roman" w:hAnsi="Times New Roman"/>
          <w:sz w:val="22"/>
        </w:rPr>
        <w:t>Enforce a strict 4-tier Role-Based Access Control (RBAC) policy engine with an AST command parser that intercepts and neutralizes unauthorized or destructive operational actions (such as emergency shutdowns or unprivileged SQL mutations).</w:t>
      </w:r>
    </w:p>
    <w:p>
      <w:pPr>
        <w:pStyle w:val="ListBullet"/>
        <w:spacing w:before="40" w:after="60" w:line="276" w:lineRule="auto"/>
        <w:jc w:val="both"/>
      </w:pPr>
      <w:r>
        <w:rPr>
          <w:rFonts w:ascii="Times New Roman" w:hAnsi="Times New Roman"/>
          <w:b/>
          <w:sz w:val="22"/>
        </w:rPr>
        <w:t xml:space="preserve">Real-Time SCADA 3D Digital Twin: </w:t>
      </w:r>
      <w:r>
        <w:rPr>
          <w:rFonts w:ascii="Times New Roman" w:hAnsi="Times New Roman"/>
          <w:sz w:val="22"/>
        </w:rPr>
        <w:t>Deliver an interactive WebGL Three.js 3D visualization of critical refinery machinery (Heavy Crude Pump 301A, Wet Gas Compressor 102, Furnace Blower 401, Turbo Expander 205) coupled with live thermodynamic and spectral FFT harmonic telemetry.</w:t>
      </w:r>
    </w:p>
    <w:p>
      <w:pPr>
        <w:pStyle w:val="ListBullet"/>
        <w:spacing w:before="40" w:after="60" w:line="276" w:lineRule="auto"/>
        <w:jc w:val="both"/>
      </w:pPr>
      <w:r>
        <w:rPr>
          <w:rFonts w:ascii="Times New Roman" w:hAnsi="Times New Roman"/>
          <w:b/>
          <w:sz w:val="22"/>
        </w:rPr>
        <w:t xml:space="preserve">Predictive Maintenance &amp; SIS Verification: </w:t>
      </w:r>
      <w:r>
        <w:rPr>
          <w:rFonts w:ascii="Times New Roman" w:hAnsi="Times New Roman"/>
          <w:sz w:val="22"/>
        </w:rPr>
        <w:t>Automate ISO 10816-3 velocity classification, Bearing Defect Frequency (BPFO/BPFI) tracking, automated CMMS work order generation, and Safety Instrumented System proof testing with &lt;45ms emergency trip loop validation.</w:t>
      </w:r>
    </w:p>
    <w:p>
      <w:pPr>
        <w:pStyle w:val="ListBullet"/>
        <w:spacing w:before="40" w:after="60" w:line="276" w:lineRule="auto"/>
        <w:jc w:val="both"/>
      </w:pPr>
      <w:r>
        <w:rPr>
          <w:rFonts w:ascii="Times New Roman" w:hAnsi="Times New Roman"/>
          <w:b/>
          <w:sz w:val="22"/>
        </w:rPr>
        <w:t xml:space="preserve">Cryptographic Auditability: </w:t>
      </w:r>
      <w:r>
        <w:rPr>
          <w:rFonts w:ascii="Times New Roman" w:hAnsi="Times New Roman"/>
          <w:sz w:val="22"/>
        </w:rPr>
        <w:t>Log every telemetry anomaly, operator override, model prompt, and actuator tuning into an immutable, SHA-256 hash-chained block ledger for absolute regulatory and forensic accountability.</w:t>
      </w:r>
    </w:p>
    <w:p>
      <w:r>
        <w:br w:type="page"/>
      </w:r>
    </w:p>
    <w:p>
      <w:pPr>
        <w:spacing w:before="280" w:after="120"/>
      </w:pPr>
      <w:r>
        <w:rPr>
          <w:rFonts w:ascii="Times New Roman" w:hAnsi="Times New Roman"/>
          <w:b/>
          <w:sz w:val="26"/>
        </w:rPr>
        <w:t>3. Scope</w:t>
      </w:r>
    </w:p>
    <w:p>
      <w:pPr>
        <w:spacing w:before="0" w:after="120" w:line="276" w:lineRule="auto"/>
        <w:jc w:val="both"/>
      </w:pPr>
      <w:r>
        <w:rPr>
          <w:rFonts w:ascii="Times New Roman" w:hAnsi="Times New Roman"/>
          <w:sz w:val="22"/>
        </w:rPr>
        <w:t>The operational and technical scope of this project encompasses:</w:t>
      </w:r>
    </w:p>
    <w:p>
      <w:pPr>
        <w:pStyle w:val="ListBullet"/>
        <w:spacing w:before="40" w:after="60" w:line="276" w:lineRule="auto"/>
        <w:jc w:val="both"/>
      </w:pPr>
      <w:r>
        <w:rPr>
          <w:rFonts w:ascii="Times New Roman" w:hAnsi="Times New Roman"/>
          <w:b/>
          <w:sz w:val="22"/>
        </w:rPr>
        <w:t xml:space="preserve">Theoretical &amp; Mathematical Foundation: </w:t>
      </w:r>
      <w:r>
        <w:rPr>
          <w:rFonts w:ascii="Times New Roman" w:hAnsi="Times New Roman"/>
          <w:sz w:val="22"/>
        </w:rPr>
        <w:t>Study of localized quantized neural inference (GGUF k-quants), Fast Fourier Transform (FFT) vibration harmonics, Weibull-based Remaining Useful Life (RUL) estimation, and safety instrumentation standards (IEC 61508 / IEC 61511 / ISO 10816-3).</w:t>
      </w:r>
    </w:p>
    <w:p>
      <w:pPr>
        <w:pStyle w:val="ListBullet"/>
        <w:spacing w:before="40" w:after="60" w:line="276" w:lineRule="auto"/>
        <w:jc w:val="both"/>
      </w:pPr>
      <w:r>
        <w:rPr>
          <w:rFonts w:ascii="Times New Roman" w:hAnsi="Times New Roman"/>
          <w:b/>
          <w:sz w:val="22"/>
        </w:rPr>
        <w:t xml:space="preserve">Model Integration &amp; Orchestration: </w:t>
      </w:r>
      <w:r>
        <w:rPr>
          <w:rFonts w:ascii="Times New Roman" w:hAnsi="Times New Roman"/>
          <w:sz w:val="22"/>
        </w:rPr>
        <w:t>Native local execution of specialized SLMs/VLMs via llama.cpp and PyTorch with custom C++ bindings, eliminating third-party API keys, cloud latency, and telemetry leakage.</w:t>
      </w:r>
    </w:p>
    <w:p>
      <w:pPr>
        <w:pStyle w:val="ListBullet"/>
        <w:spacing w:before="40" w:after="60" w:line="276" w:lineRule="auto"/>
        <w:jc w:val="both"/>
      </w:pPr>
      <w:r>
        <w:rPr>
          <w:rFonts w:ascii="Times New Roman" w:hAnsi="Times New Roman"/>
          <w:b/>
          <w:sz w:val="22"/>
        </w:rPr>
        <w:t xml:space="preserve">Industrial Data &amp; Telemetry Pipeline: </w:t>
      </w:r>
      <w:r>
        <w:rPr>
          <w:rFonts w:ascii="Times New Roman" w:hAnsi="Times New Roman"/>
          <w:sz w:val="22"/>
        </w:rPr>
        <w:t>Bidirectional telemetry engine ingesting real-time Modbus/OPC-UA and simulated SCADA sensor feeds across 4 critical industrial rotating assets at sub-100ms refresh cycles.</w:t>
      </w:r>
    </w:p>
    <w:p>
      <w:pPr>
        <w:pStyle w:val="ListBullet"/>
        <w:spacing w:before="40" w:after="60" w:line="276" w:lineRule="auto"/>
        <w:jc w:val="both"/>
      </w:pPr>
      <w:r>
        <w:rPr>
          <w:rFonts w:ascii="Times New Roman" w:hAnsi="Times New Roman"/>
          <w:b/>
          <w:sz w:val="22"/>
        </w:rPr>
        <w:t xml:space="preserve">Multimodal Computer Vision Engine: </w:t>
      </w:r>
      <w:r>
        <w:rPr>
          <w:rFonts w:ascii="Times New Roman" w:hAnsi="Times New Roman"/>
          <w:sz w:val="22"/>
        </w:rPr>
        <w:t>Computer vision pipeline for P&amp;ID engineering drawings, thermal thermography scans, weld radiographic analysis, and ASME Section VIII corrosion pitting evaluation using local vision-language transformers.</w:t>
      </w:r>
    </w:p>
    <w:p>
      <w:pPr>
        <w:pStyle w:val="ListBullet"/>
        <w:spacing w:before="40" w:after="60" w:line="276" w:lineRule="auto"/>
        <w:jc w:val="both"/>
      </w:pPr>
      <w:r>
        <w:rPr>
          <w:rFonts w:ascii="Times New Roman" w:hAnsi="Times New Roman"/>
          <w:b/>
          <w:sz w:val="22"/>
        </w:rPr>
        <w:t xml:space="preserve">Sovereign Studio IDE Sandbox: </w:t>
      </w:r>
      <w:r>
        <w:rPr>
          <w:rFonts w:ascii="Times New Roman" w:hAnsi="Times New Roman"/>
          <w:sz w:val="22"/>
        </w:rPr>
        <w:t>Isolated, secure multi-language execution sandbox supporting Python, C, C++, Bash, and SQL with deterministic AST abstract syntax verification and timeout boundaries.</w:t>
      </w:r>
    </w:p>
    <w:p>
      <w:pPr>
        <w:pStyle w:val="ListBullet"/>
        <w:spacing w:before="40" w:after="60" w:line="276" w:lineRule="auto"/>
        <w:jc w:val="both"/>
      </w:pPr>
      <w:r>
        <w:rPr>
          <w:rFonts w:ascii="Times New Roman" w:hAnsi="Times New Roman"/>
          <w:b/>
          <w:sz w:val="22"/>
        </w:rPr>
        <w:t xml:space="preserve">Desktop Shell &amp; Web Application: </w:t>
      </w:r>
      <w:r>
        <w:rPr>
          <w:rFonts w:ascii="Times New Roman" w:hAnsi="Times New Roman"/>
          <w:sz w:val="22"/>
        </w:rPr>
        <w:t>Modern desktop workstation packaging via Electron and React 19 / TypeScript / Tailwind CSS, optimized for high-resolution plant multi-monitor control room configurations.</w:t>
      </w:r>
    </w:p>
    <w:p>
      <w:pPr>
        <w:pStyle w:val="ListBullet"/>
        <w:spacing w:before="40" w:after="60" w:line="276" w:lineRule="auto"/>
        <w:jc w:val="both"/>
      </w:pPr>
      <w:r>
        <w:rPr>
          <w:rFonts w:ascii="Times New Roman" w:hAnsi="Times New Roman"/>
          <w:b/>
          <w:sz w:val="22"/>
        </w:rPr>
        <w:t xml:space="preserve">Evaluation &amp; Validation Framework: </w:t>
      </w:r>
      <w:r>
        <w:rPr>
          <w:rFonts w:ascii="Times New Roman" w:hAnsi="Times New Roman"/>
          <w:sz w:val="22"/>
        </w:rPr>
        <w:t>Rigorous benchmarking against real refinery operational envelopes, testing relay response latency (&lt;45ms), cold-start hot-swap times (&lt;400ms), and 100% block-rate on safety policy violations.</w:t>
      </w:r>
    </w:p>
    <w:p>
      <w:pPr>
        <w:spacing w:before="280" w:after="120"/>
      </w:pPr>
      <w:r>
        <w:rPr>
          <w:rFonts w:ascii="Times New Roman" w:hAnsi="Times New Roman"/>
          <w:b/>
          <w:sz w:val="26"/>
        </w:rPr>
        <w:t>4. Architecture</w:t>
      </w:r>
    </w:p>
    <w:p>
      <w:pPr>
        <w:pStyle w:val="ListBullet"/>
        <w:spacing w:before="40" w:after="60" w:line="276" w:lineRule="auto"/>
        <w:jc w:val="both"/>
      </w:pPr>
      <w:r>
        <w:rPr>
          <w:rFonts w:ascii="Times New Roman" w:hAnsi="Times New Roman"/>
          <w:b/>
          <w:sz w:val="22"/>
        </w:rPr>
        <w:t xml:space="preserve">Backend Stack: </w:t>
      </w:r>
      <w:r>
        <w:rPr>
          <w:rFonts w:ascii="Times New Roman" w:hAnsi="Times New Roman"/>
          <w:sz w:val="22"/>
        </w:rPr>
        <w:t>Python 3.10+, FastAPI asynchronous REST and WebSocket server, Uvicorn, llama.cpp / llama-cpp-python (CUDA 12.1 / cuBLAS acceleration), PyTorch, NumPy, SciPy (FFT / Signal Processing).</w:t>
      </w:r>
    </w:p>
    <w:p>
      <w:pPr>
        <w:pStyle w:val="ListBullet"/>
        <w:spacing w:before="40" w:after="60" w:line="276" w:lineRule="auto"/>
        <w:jc w:val="both"/>
      </w:pPr>
      <w:r>
        <w:rPr>
          <w:rFonts w:ascii="Times New Roman" w:hAnsi="Times New Roman"/>
          <w:b/>
          <w:sz w:val="22"/>
        </w:rPr>
        <w:t xml:space="preserve">Frontend &amp; Desktop Shell: </w:t>
      </w:r>
      <w:r>
        <w:rPr>
          <w:rFonts w:ascii="Times New Roman" w:hAnsi="Times New Roman"/>
          <w:sz w:val="22"/>
        </w:rPr>
        <w:t>Electron 28+, React 19, TypeScript, Tailwind CSS, Lucide Icons, Three.js / React Three Fiber for WebGL 3D CAD rendering, Canvas-based spectral FFT visualizers.</w:t>
      </w:r>
    </w:p>
    <w:p>
      <w:pPr>
        <w:pStyle w:val="ListBullet"/>
        <w:spacing w:before="40" w:after="60" w:line="276" w:lineRule="auto"/>
        <w:jc w:val="both"/>
      </w:pPr>
      <w:r>
        <w:rPr>
          <w:rFonts w:ascii="Times New Roman" w:hAnsi="Times New Roman"/>
          <w:b/>
          <w:sz w:val="22"/>
        </w:rPr>
        <w:t xml:space="preserve">Data Storage &amp; Cryptographic Subsystems: </w:t>
      </w:r>
      <w:r>
        <w:rPr>
          <w:rFonts w:ascii="Times New Roman" w:hAnsi="Times New Roman"/>
          <w:sz w:val="22"/>
        </w:rPr>
        <w:t>Embedded SQLite relational databases for asset hierarchy and sensor catalogs, Chained Block SHA-256 tamper-evident append-only ledger.</w:t>
      </w:r>
    </w:p>
    <w:p>
      <w:pPr>
        <w:pStyle w:val="ListBullet"/>
        <w:spacing w:before="40" w:after="60" w:line="276" w:lineRule="auto"/>
        <w:jc w:val="both"/>
      </w:pPr>
      <w:r>
        <w:rPr>
          <w:rFonts w:ascii="Times New Roman" w:hAnsi="Times New Roman"/>
          <w:b/>
          <w:sz w:val="22"/>
        </w:rPr>
        <w:t xml:space="preserve">Inference &amp; VRAM Management Architecture: </w:t>
      </w:r>
      <w:r>
        <w:rPr>
          <w:rFonts w:ascii="Times New Roman" w:hAnsi="Times New Roman"/>
          <w:sz w:val="22"/>
        </w:rPr>
        <w:t>Dedicated Model Registry maintaining dormant and active model states in pinned CPU host memory and GPU VRAM; automated LRU eviction ensuring zero out-of-memory (OOM) faults under continuous operation.</w:t>
      </w:r>
    </w:p>
    <w:p>
      <w:pPr>
        <w:pStyle w:val="ListBullet"/>
        <w:spacing w:before="40" w:after="60" w:line="276" w:lineRule="auto"/>
        <w:jc w:val="both"/>
      </w:pPr>
      <w:r>
        <w:rPr>
          <w:rFonts w:ascii="Times New Roman" w:hAnsi="Times New Roman"/>
          <w:b/>
          <w:sz w:val="22"/>
        </w:rPr>
        <w:t xml:space="preserve">Deterministic Policy Interception Pipeline: </w:t>
      </w:r>
      <w:r>
        <w:rPr>
          <w:rFonts w:ascii="Times New Roman" w:hAnsi="Times New Roman"/>
          <w:sz w:val="22"/>
        </w:rPr>
        <w:t>Hierarchical 4-tier RBAC Gateway (Grade 1 Operator → Grade 2 Maintenance Engineer → Grade 3 Superintendent → Administrator). Abstract Syntax Tree (AST) pattern matcher inspects natural language and script commands before dispatching to physical actuator endpoints.</w:t>
      </w:r>
    </w:p>
    <w:p>
      <w:r>
        <w:br w:type="page"/>
      </w:r>
    </w:p>
    <w:p>
      <w:pPr>
        <w:spacing w:before="280" w:after="120"/>
      </w:pPr>
      <w:r>
        <w:rPr>
          <w:rFonts w:ascii="Times New Roman" w:hAnsi="Times New Roman"/>
          <w:b/>
          <w:sz w:val="26"/>
        </w:rPr>
        <w:t>5. Methodology</w:t>
      </w:r>
    </w:p>
    <w:p>
      <w:pPr>
        <w:spacing w:before="0" w:after="120" w:line="276" w:lineRule="auto"/>
        <w:jc w:val="both"/>
      </w:pPr>
      <w:r>
        <w:rPr>
          <w:rFonts w:ascii="Times New Roman" w:hAnsi="Times New Roman"/>
          <w:sz w:val="22"/>
        </w:rPr>
        <w:t>This project adheres to an end-to-end industrial MLOps and DevSecOps engineering pipeline—spanning quantized model adaptation, real-time sensor fusion, deterministic policy safety layers, and high-fidelity operator interaction.</w:t>
      </w:r>
    </w:p>
    <w:p>
      <w:pPr>
        <w:spacing w:before="200" w:after="80"/>
      </w:pPr>
      <w:r>
        <w:rPr>
          <w:rFonts w:ascii="Times New Roman" w:hAnsi="Times New Roman"/>
          <w:b/>
          <w:sz w:val="23"/>
        </w:rPr>
        <w:t>5.1 Data Preparation, Telemetry Ingestion &amp; Physics Modeling</w:t>
      </w:r>
    </w:p>
    <w:p>
      <w:pPr>
        <w:pStyle w:val="ListBullet"/>
        <w:spacing w:before="40" w:after="60" w:line="276" w:lineRule="auto"/>
        <w:jc w:val="both"/>
      </w:pPr>
      <w:r>
        <w:rPr>
          <w:rFonts w:ascii="Times New Roman" w:hAnsi="Times New Roman"/>
          <w:b/>
          <w:sz w:val="22"/>
        </w:rPr>
        <w:t xml:space="preserve">SCADA Telemetry Streams: </w:t>
      </w:r>
      <w:r>
        <w:rPr>
          <w:rFonts w:ascii="Times New Roman" w:hAnsi="Times New Roman"/>
          <w:sz w:val="22"/>
        </w:rPr>
        <w:t>Synthesizes and ingests high-frequency telemetry across four critical asset classes: PUMP_301A (impeller cavitation, bearing temperature, discharge pressure), COMPRESSOR_102 (surge margin, inter-stage cooler pressure), FURNACE_BLOWER_401 (flue gas draft, stator vibration), and EXPANDER_TURBINE_205 (thrust bearing axial displacement, rotor speed).</w:t>
      </w:r>
    </w:p>
    <w:p>
      <w:pPr>
        <w:pStyle w:val="ListBullet"/>
        <w:spacing w:before="40" w:after="60" w:line="276" w:lineRule="auto"/>
        <w:jc w:val="both"/>
      </w:pPr>
      <w:r>
        <w:rPr>
          <w:rFonts w:ascii="Times New Roman" w:hAnsi="Times New Roman"/>
          <w:b/>
          <w:sz w:val="22"/>
        </w:rPr>
        <w:t xml:space="preserve">Signal Processing: </w:t>
      </w:r>
      <w:r>
        <w:rPr>
          <w:rFonts w:ascii="Times New Roman" w:hAnsi="Times New Roman"/>
          <w:sz w:val="22"/>
        </w:rPr>
        <w:t>Calculates real-time Fast Fourier Transform (FFT) to decompose complex vibration signals into fundamental running speeds (1X, 2X, 3X) and high-frequency bearing ball pass outer/inner race frequencies (BPFO/BPFI).</w:t>
      </w:r>
    </w:p>
    <w:p>
      <w:pPr>
        <w:pStyle w:val="ListBullet"/>
        <w:spacing w:before="40" w:after="60" w:line="276" w:lineRule="auto"/>
        <w:jc w:val="both"/>
      </w:pPr>
      <w:r>
        <w:rPr>
          <w:rFonts w:ascii="Times New Roman" w:hAnsi="Times New Roman"/>
          <w:b/>
          <w:sz w:val="22"/>
        </w:rPr>
        <w:t xml:space="preserve">Standardized Thresholding: </w:t>
      </w:r>
      <w:r>
        <w:rPr>
          <w:rFonts w:ascii="Times New Roman" w:hAnsi="Times New Roman"/>
          <w:sz w:val="22"/>
        </w:rPr>
        <w:t>Maps ISO 10816-3 velocity standards across Zone A (Newly Commissioned), Zone B (Unrestricted Long-Term Operation), Zone C (Restricted / Alarm), and Zone D (Dangerous / Automatic Trip).</w:t>
      </w:r>
    </w:p>
    <w:p>
      <w:pPr>
        <w:spacing w:before="200" w:after="80"/>
      </w:pPr>
      <w:r>
        <w:rPr>
          <w:rFonts w:ascii="Times New Roman" w:hAnsi="Times New Roman"/>
          <w:b/>
          <w:sz w:val="23"/>
        </w:rPr>
        <w:t>5.2 Multi-Model Local Neural Inference Pipeline</w:t>
      </w:r>
    </w:p>
    <w:p>
      <w:pPr>
        <w:pStyle w:val="ListBullet"/>
        <w:spacing w:before="40" w:after="60" w:line="276" w:lineRule="auto"/>
        <w:jc w:val="both"/>
      </w:pPr>
      <w:r>
        <w:rPr>
          <w:rFonts w:ascii="Times New Roman" w:hAnsi="Times New Roman"/>
          <w:b/>
          <w:sz w:val="22"/>
        </w:rPr>
        <w:t xml:space="preserve">Intent Routing: </w:t>
      </w:r>
      <w:r>
        <w:rPr>
          <w:rFonts w:ascii="Times New Roman" w:hAnsi="Times New Roman"/>
          <w:sz w:val="22"/>
        </w:rPr>
        <w:t>A 500M ultra-compact organizer parses user queries and voice commands into structured operational intents (SCADA Query, Diagnosis, Actuator Adjustment, Safety Proof Test) in &lt;35ms.</w:t>
      </w:r>
    </w:p>
    <w:p>
      <w:pPr>
        <w:pStyle w:val="ListBullet"/>
        <w:spacing w:before="40" w:after="60" w:line="276" w:lineRule="auto"/>
        <w:jc w:val="both"/>
      </w:pPr>
      <w:r>
        <w:rPr>
          <w:rFonts w:ascii="Times New Roman" w:hAnsi="Times New Roman"/>
          <w:b/>
          <w:sz w:val="22"/>
        </w:rPr>
        <w:t xml:space="preserve">Domain Code Reasoning: </w:t>
      </w:r>
      <w:r>
        <w:rPr>
          <w:rFonts w:ascii="Times New Roman" w:hAnsi="Times New Roman"/>
          <w:sz w:val="22"/>
        </w:rPr>
        <w:t>A 3B parameter coding model generates validated automation scripts, SQL queries, and calibration routines within sandboxed execution limits.</w:t>
      </w:r>
    </w:p>
    <w:p>
      <w:pPr>
        <w:pStyle w:val="ListBullet"/>
        <w:spacing w:before="40" w:after="60" w:line="276" w:lineRule="auto"/>
        <w:jc w:val="both"/>
      </w:pPr>
      <w:r>
        <w:rPr>
          <w:rFonts w:ascii="Times New Roman" w:hAnsi="Times New Roman"/>
          <w:b/>
          <w:sz w:val="22"/>
        </w:rPr>
        <w:t xml:space="preserve">Multimodal Inspection: </w:t>
      </w:r>
      <w:r>
        <w:rPr>
          <w:rFonts w:ascii="Times New Roman" w:hAnsi="Times New Roman"/>
          <w:sz w:val="22"/>
        </w:rPr>
        <w:t>A 3B Qwen2.5-VL vision-language model analyzes uploaded P&amp;ID blueprints, ultrasonic thickness reports, and thermal scans, extracting pipe tags, valve states, and structural anomalies.</w:t>
      </w:r>
    </w:p>
    <w:p>
      <w:pPr>
        <w:pStyle w:val="ListBullet"/>
        <w:spacing w:before="40" w:after="60" w:line="276" w:lineRule="auto"/>
        <w:jc w:val="both"/>
      </w:pPr>
      <w:r>
        <w:rPr>
          <w:rFonts w:ascii="Times New Roman" w:hAnsi="Times New Roman"/>
          <w:b/>
          <w:sz w:val="22"/>
        </w:rPr>
        <w:t xml:space="preserve">Memory Scheduling: </w:t>
      </w:r>
      <w:r>
        <w:rPr>
          <w:rFonts w:ascii="Times New Roman" w:hAnsi="Times New Roman"/>
          <w:sz w:val="22"/>
        </w:rPr>
        <w:t>Employs an intelligent VRAM budgeting algorithm that unloads idle models to RAM and pre-warms active model context in &lt;400ms, maintaining total GPU memory utilization below 8 GB.</w:t>
      </w:r>
    </w:p>
    <w:p>
      <w:pPr>
        <w:spacing w:before="200" w:after="80"/>
      </w:pPr>
      <w:r>
        <w:rPr>
          <w:rFonts w:ascii="Times New Roman" w:hAnsi="Times New Roman"/>
          <w:b/>
          <w:sz w:val="23"/>
        </w:rPr>
        <w:t>5.3 Safety Interlocks, Deterministic Policy &amp; Cryptographic Ledger</w:t>
      </w:r>
    </w:p>
    <w:p>
      <w:pPr>
        <w:pStyle w:val="ListBullet"/>
        <w:spacing w:before="40" w:after="60" w:line="276" w:lineRule="auto"/>
        <w:jc w:val="both"/>
      </w:pPr>
      <w:r>
        <w:rPr>
          <w:rFonts w:ascii="Times New Roman" w:hAnsi="Times New Roman"/>
          <w:b/>
          <w:sz w:val="22"/>
        </w:rPr>
        <w:t xml:space="preserve">Default-Deny Gateway: </w:t>
      </w:r>
      <w:r>
        <w:rPr>
          <w:rFonts w:ascii="Times New Roman" w:hAnsi="Times New Roman"/>
          <w:sz w:val="22"/>
        </w:rPr>
        <w:t>All tool executions and physical parameter changes pass through a deterministic RBAC filter. Grade 1 operators are strictly restricted from destructive modifications.</w:t>
      </w:r>
    </w:p>
    <w:p>
      <w:pPr>
        <w:pStyle w:val="ListBullet"/>
        <w:spacing w:before="40" w:after="60" w:line="276" w:lineRule="auto"/>
        <w:jc w:val="both"/>
      </w:pPr>
      <w:r>
        <w:rPr>
          <w:rFonts w:ascii="Times New Roman" w:hAnsi="Times New Roman"/>
          <w:b/>
          <w:sz w:val="22"/>
        </w:rPr>
        <w:t xml:space="preserve">AST Policy Analyzer: </w:t>
      </w:r>
      <w:r>
        <w:rPr>
          <w:rFonts w:ascii="Times New Roman" w:hAnsi="Times New Roman"/>
          <w:sz w:val="22"/>
        </w:rPr>
        <w:t>Scans code blocks and system calls to intercept destructive strings ('DROP TABLE', 'rm -rf', unauthorized trip overrides) before execution.</w:t>
      </w:r>
    </w:p>
    <w:p>
      <w:pPr>
        <w:pStyle w:val="ListBullet"/>
        <w:spacing w:before="40" w:after="60" w:line="276" w:lineRule="auto"/>
        <w:jc w:val="both"/>
      </w:pPr>
      <w:r>
        <w:rPr>
          <w:rFonts w:ascii="Times New Roman" w:hAnsi="Times New Roman"/>
          <w:b/>
          <w:sz w:val="22"/>
        </w:rPr>
        <w:t xml:space="preserve">Immutable SHA-256 Ledger: </w:t>
      </w:r>
      <w:r>
        <w:rPr>
          <w:rFonts w:ascii="Times New Roman" w:hAnsi="Times New Roman"/>
          <w:sz w:val="22"/>
        </w:rPr>
        <w:t>Every security event, manual bypass, and autonomous command is hashed with the previous block's SHA-256 digest, timestamped, and persisted to an append-only cryptographic audit ledger.</w:t>
      </w:r>
    </w:p>
    <w:p>
      <w:pPr>
        <w:spacing w:before="200" w:after="80"/>
      </w:pPr>
      <w:r>
        <w:rPr>
          <w:rFonts w:ascii="Times New Roman" w:hAnsi="Times New Roman"/>
          <w:b/>
          <w:sz w:val="23"/>
        </w:rPr>
        <w:t>5.4 Digital Twin &amp; Control Room Interface</w:t>
      </w:r>
    </w:p>
    <w:p>
      <w:pPr>
        <w:pStyle w:val="ListBullet"/>
        <w:spacing w:before="40" w:after="60" w:line="276" w:lineRule="auto"/>
        <w:jc w:val="both"/>
      </w:pPr>
      <w:r>
        <w:rPr>
          <w:rFonts w:ascii="Times New Roman" w:hAnsi="Times New Roman"/>
          <w:b/>
          <w:sz w:val="22"/>
        </w:rPr>
        <w:t xml:space="preserve">Interactive WebGL 3D Canvas: </w:t>
      </w:r>
      <w:r>
        <w:rPr>
          <w:rFonts w:ascii="Times New Roman" w:hAnsi="Times New Roman"/>
          <w:sz w:val="22"/>
        </w:rPr>
        <w:t>Renders parametric 3D machinery representations in Three.js with real-time dynamic heatmaps, operational rotation speeds, vibration wobble, and interactive camera viewpoints.</w:t>
      </w:r>
    </w:p>
    <w:p>
      <w:pPr>
        <w:pStyle w:val="ListBullet"/>
        <w:spacing w:before="40" w:after="60" w:line="276" w:lineRule="auto"/>
        <w:jc w:val="both"/>
      </w:pPr>
      <w:r>
        <w:rPr>
          <w:rFonts w:ascii="Times New Roman" w:hAnsi="Times New Roman"/>
          <w:b/>
          <w:sz w:val="22"/>
        </w:rPr>
        <w:t xml:space="preserve">Autonomous CMMS Integration: </w:t>
      </w:r>
      <w:r>
        <w:rPr>
          <w:rFonts w:ascii="Times New Roman" w:hAnsi="Times New Roman"/>
          <w:sz w:val="22"/>
        </w:rPr>
        <w:t>Automatically synthesizes industry-standard SAP/Maximo work orders with failure codes, required spare parts catalogs, and priority assignments upon detecting ISO Zone D anomalies.</w:t>
      </w:r>
    </w:p>
    <w:p>
      <w:r>
        <w:br w:type="page"/>
      </w:r>
    </w:p>
    <w:p>
      <w:pPr>
        <w:spacing w:before="280" w:after="120"/>
      </w:pPr>
      <w:r>
        <w:rPr>
          <w:rFonts w:ascii="Times New Roman" w:hAnsi="Times New Roman"/>
          <w:b/>
          <w:sz w:val="26"/>
        </w:rPr>
        <w:t>6. Conclusion</w:t>
      </w:r>
    </w:p>
    <w:p>
      <w:pPr>
        <w:spacing w:before="0" w:after="120" w:line="276" w:lineRule="auto"/>
        <w:jc w:val="both"/>
      </w:pPr>
      <w:r>
        <w:rPr>
          <w:rFonts w:ascii="Times New Roman" w:hAnsi="Times New Roman"/>
          <w:sz w:val="22"/>
        </w:rPr>
        <w:t>The Sovereign Industrial AI Workbench demonstrates a production-grade paradigm shift in industrial artificial intelligence. By proving that multi-model agentic AI, multimodal visual inspection, and high-fidelity physics-coupled digital twins can run with complete operational autonomy on air-gapped local hardware, this project resolves the critical conflict between AI modernization and data sovereignty for high-consequence national infrastructure.</w:t>
      </w:r>
    </w:p>
    <w:p>
      <w:pPr>
        <w:spacing w:before="0" w:after="120" w:line="276" w:lineRule="auto"/>
        <w:jc w:val="both"/>
      </w:pPr>
      <w:r>
        <w:rPr>
          <w:rFonts w:ascii="Times New Roman" w:hAnsi="Times New Roman"/>
          <w:sz w:val="22"/>
        </w:rPr>
        <w:t>The system's modular architecture cleanly separates low-latency GPU neural inference, high-frequency telemetry processing, deterministic safety verification, and interactive 3D visualization. This architecture delivers instantaneous decision support to field operators, slashes unplanned downtime through sub-harmonic predictive diagnostics, and provides cryptographic auditability that exceeds contemporary industrial cybersecurity benchmarks.</w:t>
      </w:r>
    </w:p>
    <w:p>
      <w:pPr>
        <w:spacing w:before="200" w:after="80"/>
      </w:pPr>
      <w:r>
        <w:rPr>
          <w:rFonts w:ascii="Times New Roman" w:hAnsi="Times New Roman"/>
          <w:b/>
          <w:sz w:val="23"/>
        </w:rPr>
        <w:t>6.1 Key Highlights</w:t>
      </w:r>
    </w:p>
    <w:p>
      <w:pPr>
        <w:pStyle w:val="ListBullet"/>
        <w:spacing w:before="40" w:after="60" w:line="276" w:lineRule="auto"/>
        <w:jc w:val="both"/>
      </w:pPr>
      <w:r>
        <w:rPr>
          <w:rFonts w:ascii="Times New Roman" w:hAnsi="Times New Roman"/>
          <w:b/>
          <w:sz w:val="22"/>
        </w:rPr>
        <w:t xml:space="preserve">Absolute Data Sovereignty: </w:t>
      </w:r>
      <w:r>
        <w:rPr>
          <w:rFonts w:ascii="Times New Roman" w:hAnsi="Times New Roman"/>
          <w:sz w:val="22"/>
        </w:rPr>
        <w:t>Zero external network egress; 100% of weights, embeddings, and telemetry stay on local premises.</w:t>
      </w:r>
    </w:p>
    <w:p>
      <w:pPr>
        <w:pStyle w:val="ListBullet"/>
        <w:spacing w:before="40" w:after="60" w:line="276" w:lineRule="auto"/>
        <w:jc w:val="both"/>
      </w:pPr>
      <w:r>
        <w:rPr>
          <w:rFonts w:ascii="Times New Roman" w:hAnsi="Times New Roman"/>
          <w:b/>
          <w:sz w:val="22"/>
        </w:rPr>
        <w:t xml:space="preserve">Sub-8GB VRAM Efficiency: </w:t>
      </w:r>
      <w:r>
        <w:rPr>
          <w:rFonts w:ascii="Times New Roman" w:hAnsi="Times New Roman"/>
          <w:sz w:val="22"/>
        </w:rPr>
        <w:t>Dynamic model arbitration allows multi-model intelligence on standard commercial workstations and edge boxes.</w:t>
      </w:r>
    </w:p>
    <w:p>
      <w:pPr>
        <w:pStyle w:val="ListBullet"/>
        <w:spacing w:before="40" w:after="60" w:line="276" w:lineRule="auto"/>
        <w:jc w:val="both"/>
      </w:pPr>
      <w:r>
        <w:rPr>
          <w:rFonts w:ascii="Times New Roman" w:hAnsi="Times New Roman"/>
          <w:b/>
          <w:sz w:val="22"/>
        </w:rPr>
        <w:t xml:space="preserve">Deterministic Fail-Closed Safety: </w:t>
      </w:r>
      <w:r>
        <w:rPr>
          <w:rFonts w:ascii="Times New Roman" w:hAnsi="Times New Roman"/>
          <w:sz w:val="22"/>
        </w:rPr>
        <w:t>4-tier RBAC policy gateway with AST parsing guarantees unvalidated AI hallucinations cannot trigger dangerous physical actions.</w:t>
      </w:r>
    </w:p>
    <w:p>
      <w:pPr>
        <w:pStyle w:val="ListBullet"/>
        <w:spacing w:before="40" w:after="60" w:line="276" w:lineRule="auto"/>
        <w:jc w:val="both"/>
      </w:pPr>
      <w:r>
        <w:rPr>
          <w:rFonts w:ascii="Times New Roman" w:hAnsi="Times New Roman"/>
          <w:b/>
          <w:sz w:val="22"/>
        </w:rPr>
        <w:t xml:space="preserve">Sub-45ms SIS Verification: </w:t>
      </w:r>
      <w:r>
        <w:rPr>
          <w:rFonts w:ascii="Times New Roman" w:hAnsi="Times New Roman"/>
          <w:sz w:val="22"/>
        </w:rPr>
        <w:t>Integrated Safety Instrumented System proof testing validates emergency shut-off loops against IEC 61511 compliance.</w:t>
      </w:r>
    </w:p>
    <w:p>
      <w:pPr>
        <w:pStyle w:val="ListBullet"/>
        <w:spacing w:before="40" w:after="60" w:line="276" w:lineRule="auto"/>
        <w:jc w:val="both"/>
      </w:pPr>
      <w:r>
        <w:rPr>
          <w:rFonts w:ascii="Times New Roman" w:hAnsi="Times New Roman"/>
          <w:b/>
          <w:sz w:val="22"/>
        </w:rPr>
        <w:t xml:space="preserve">Cryptographic Integrity: </w:t>
      </w:r>
      <w:r>
        <w:rPr>
          <w:rFonts w:ascii="Times New Roman" w:hAnsi="Times New Roman"/>
          <w:sz w:val="22"/>
        </w:rPr>
        <w:t>Append-only SHA-256 hash-chained block ledger ensures tamper-proof audit trails for safety investigations.</w:t>
      </w:r>
    </w:p>
    <w:p>
      <w:pPr>
        <w:spacing w:before="200" w:after="80"/>
      </w:pPr>
      <w:r>
        <w:rPr>
          <w:rFonts w:ascii="Times New Roman" w:hAnsi="Times New Roman"/>
          <w:b/>
          <w:sz w:val="23"/>
        </w:rPr>
        <w:t>6.2 Current Limitations</w:t>
      </w:r>
    </w:p>
    <w:p>
      <w:pPr>
        <w:pStyle w:val="ListBullet"/>
        <w:spacing w:before="40" w:after="60" w:line="276" w:lineRule="auto"/>
        <w:jc w:val="both"/>
      </w:pPr>
      <w:r>
        <w:rPr>
          <w:rFonts w:ascii="Times New Roman" w:hAnsi="Times New Roman"/>
          <w:b/>
          <w:sz w:val="22"/>
        </w:rPr>
        <w:t xml:space="preserve">Hardware Acceleration Prerequisite: </w:t>
      </w:r>
      <w:r>
        <w:rPr>
          <w:rFonts w:ascii="Times New Roman" w:hAnsi="Times New Roman"/>
          <w:sz w:val="22"/>
        </w:rPr>
        <w:t>Sub-second inference and real-time 3D WebGL rendering require a dedicated GPU (minimum 8 GB VRAM, e.g., RTX 3060/4060) or Apple Silicon Unified Memory.</w:t>
      </w:r>
    </w:p>
    <w:p>
      <w:pPr>
        <w:pStyle w:val="ListBullet"/>
        <w:spacing w:before="40" w:after="60" w:line="276" w:lineRule="auto"/>
        <w:jc w:val="both"/>
      </w:pPr>
      <w:r>
        <w:rPr>
          <w:rFonts w:ascii="Times New Roman" w:hAnsi="Times New Roman"/>
          <w:b/>
          <w:sz w:val="22"/>
        </w:rPr>
        <w:t xml:space="preserve">Protocol Coverage: </w:t>
      </w:r>
      <w:r>
        <w:rPr>
          <w:rFonts w:ascii="Times New Roman" w:hAnsi="Times New Roman"/>
          <w:sz w:val="22"/>
        </w:rPr>
        <w:t>Current implementation natively targets Modbus-TCP and OPC-UA; legacy proprietary serial fieldbuses (e.g., Foundation Fieldbus H1) require external protocol gateways.</w:t>
      </w:r>
    </w:p>
    <w:p>
      <w:pPr>
        <w:pStyle w:val="ListBullet"/>
        <w:spacing w:before="40" w:after="60" w:line="276" w:lineRule="auto"/>
        <w:jc w:val="both"/>
      </w:pPr>
      <w:r>
        <w:rPr>
          <w:rFonts w:ascii="Times New Roman" w:hAnsi="Times New Roman"/>
          <w:b/>
          <w:sz w:val="22"/>
        </w:rPr>
        <w:t xml:space="preserve">Dynamic Finite Element Meshing: </w:t>
      </w:r>
      <w:r>
        <w:rPr>
          <w:rFonts w:ascii="Times New Roman" w:hAnsi="Times New Roman"/>
          <w:sz w:val="22"/>
        </w:rPr>
        <w:t>The 3D digital twin utilizes parametric physical shaders rather than real-time full Navier-Stokes computational fluid dynamics (CFD).</w:t>
      </w:r>
    </w:p>
    <w:p>
      <w:pPr>
        <w:spacing w:before="280" w:after="120"/>
      </w:pPr>
      <w:r>
        <w:rPr>
          <w:rFonts w:ascii="Times New Roman" w:hAnsi="Times New Roman"/>
          <w:b/>
          <w:sz w:val="26"/>
        </w:rPr>
        <w:t>7. Future Scope</w:t>
      </w:r>
    </w:p>
    <w:p>
      <w:pPr>
        <w:pStyle w:val="ListBullet"/>
        <w:spacing w:before="40" w:after="60" w:line="276" w:lineRule="auto"/>
        <w:jc w:val="both"/>
      </w:pPr>
      <w:r>
        <w:rPr>
          <w:rFonts w:ascii="Times New Roman" w:hAnsi="Times New Roman"/>
          <w:b/>
          <w:sz w:val="22"/>
        </w:rPr>
        <w:t xml:space="preserve">Edge Micro-Controller Deployment: </w:t>
      </w:r>
      <w:r>
        <w:rPr>
          <w:rFonts w:ascii="Times New Roman" w:hAnsi="Times New Roman"/>
          <w:sz w:val="22"/>
        </w:rPr>
        <w:t>Compile quantized 1-bit / 2-bit neural sub-modules directly onto edge micro-controllers (e.g., Jetson Orin Nano, Raspberry Pi 5) for localized pump-side monitoring.</w:t>
      </w:r>
    </w:p>
    <w:p>
      <w:pPr>
        <w:pStyle w:val="ListBullet"/>
        <w:spacing w:before="40" w:after="60" w:line="276" w:lineRule="auto"/>
        <w:jc w:val="both"/>
      </w:pPr>
      <w:r>
        <w:rPr>
          <w:rFonts w:ascii="Times New Roman" w:hAnsi="Times New Roman"/>
          <w:b/>
          <w:sz w:val="22"/>
        </w:rPr>
        <w:t xml:space="preserve">Federated Privacy-Preserving Learning: </w:t>
      </w:r>
      <w:r>
        <w:rPr>
          <w:rFonts w:ascii="Times New Roman" w:hAnsi="Times New Roman"/>
          <w:sz w:val="22"/>
        </w:rPr>
        <w:t>Implement secure federated weight averaging across distributed refinery units without transmitting raw sensor telemetry or operational logs.</w:t>
      </w:r>
    </w:p>
    <w:p>
      <w:pPr>
        <w:pStyle w:val="ListBullet"/>
        <w:spacing w:before="40" w:after="60" w:line="276" w:lineRule="auto"/>
        <w:jc w:val="both"/>
      </w:pPr>
      <w:r>
        <w:rPr>
          <w:rFonts w:ascii="Times New Roman" w:hAnsi="Times New Roman"/>
          <w:b/>
          <w:sz w:val="22"/>
        </w:rPr>
        <w:t xml:space="preserve">Automated P&amp;ID Reconstruction: </w:t>
      </w:r>
      <w:r>
        <w:rPr>
          <w:rFonts w:ascii="Times New Roman" w:hAnsi="Times New Roman"/>
          <w:sz w:val="22"/>
        </w:rPr>
        <w:t>Extend the multimodal vision pipeline to generate fully interactive Three.js 3D piping networks directly from scanned 2D engineering blueprints.</w:t>
      </w:r>
    </w:p>
    <w:p>
      <w:pPr>
        <w:pStyle w:val="ListBullet"/>
        <w:spacing w:before="40" w:after="60" w:line="276" w:lineRule="auto"/>
        <w:jc w:val="both"/>
      </w:pPr>
      <w:r>
        <w:rPr>
          <w:rFonts w:ascii="Times New Roman" w:hAnsi="Times New Roman"/>
          <w:b/>
          <w:sz w:val="22"/>
        </w:rPr>
        <w:t xml:space="preserve">AR/VR Operator Spatial Walkthroughs: </w:t>
      </w:r>
      <w:r>
        <w:rPr>
          <w:rFonts w:ascii="Times New Roman" w:hAnsi="Times New Roman"/>
          <w:sz w:val="22"/>
        </w:rPr>
        <w:t>Integrate WebXR support for field technicians using Augmented Reality headsets to view real-time holographic FFT overlays directly on physical plant equipment.</w:t>
      </w:r>
    </w:p>
    <w:p>
      <w:r>
        <w:br w:type="page"/>
      </w:r>
    </w:p>
    <w:p>
      <w:pPr>
        <w:spacing w:before="280" w:after="120"/>
      </w:pPr>
      <w:r>
        <w:rPr>
          <w:rFonts w:ascii="Times New Roman" w:hAnsi="Times New Roman"/>
          <w:b/>
          <w:sz w:val="26"/>
        </w:rPr>
        <w:t>Hardware / Software Requirement</w:t>
      </w:r>
    </w:p>
    <w:p>
      <w:pPr>
        <w:pStyle w:val="ListBullet"/>
        <w:spacing w:before="40" w:after="60" w:line="276" w:lineRule="auto"/>
        <w:jc w:val="both"/>
      </w:pPr>
      <w:r>
        <w:rPr>
          <w:rFonts w:ascii="Times New Roman" w:hAnsi="Times New Roman"/>
          <w:b/>
          <w:sz w:val="22"/>
        </w:rPr>
        <w:t xml:space="preserve">Programming Languages: </w:t>
      </w:r>
      <w:r>
        <w:rPr>
          <w:rFonts w:ascii="Times New Roman" w:hAnsi="Times New Roman"/>
          <w:sz w:val="22"/>
        </w:rPr>
        <w:t>Python 3.10+, TypeScript 5+, JavaScript (ES2022+), SQL, C++ (cuBLAS / llama.cpp compilation)</w:t>
      </w:r>
    </w:p>
    <w:p>
      <w:pPr>
        <w:pStyle w:val="ListBullet"/>
        <w:spacing w:before="40" w:after="60" w:line="276" w:lineRule="auto"/>
        <w:jc w:val="both"/>
      </w:pPr>
      <w:r>
        <w:rPr>
          <w:rFonts w:ascii="Times New Roman" w:hAnsi="Times New Roman"/>
          <w:b/>
          <w:sz w:val="22"/>
        </w:rPr>
        <w:t xml:space="preserve">AI / ML Frameworks &amp; Inference Engines: </w:t>
      </w:r>
      <w:r>
        <w:rPr>
          <w:rFonts w:ascii="Times New Roman" w:hAnsi="Times New Roman"/>
          <w:sz w:val="22"/>
        </w:rPr>
        <w:t>llama.cpp, llama-cpp-python, GGUF Quantization (Q4_K_M, Q5_K_M), PyTorch 2.2+ (CUDA 12.1), HuggingFace Transformers, Qwen2.5-VL Vision Engine</w:t>
      </w:r>
    </w:p>
    <w:p>
      <w:pPr>
        <w:pStyle w:val="ListBullet"/>
        <w:spacing w:before="40" w:after="60" w:line="276" w:lineRule="auto"/>
        <w:jc w:val="both"/>
      </w:pPr>
      <w:r>
        <w:rPr>
          <w:rFonts w:ascii="Times New Roman" w:hAnsi="Times New Roman"/>
          <w:b/>
          <w:sz w:val="22"/>
        </w:rPr>
        <w:t xml:space="preserve">Compute Hardware Platform: </w:t>
      </w:r>
      <w:r>
        <w:rPr>
          <w:rFonts w:ascii="Times New Roman" w:hAnsi="Times New Roman"/>
          <w:sz w:val="22"/>
        </w:rPr>
        <w:t>Local Workstation (NVIDIA RTX 3060/4060/4090 with 8GB–24GB VRAM) / NVIDIA DGX Station / Enterprise Linux Bare-Metal Server</w:t>
      </w:r>
    </w:p>
    <w:p>
      <w:pPr>
        <w:pStyle w:val="ListBullet"/>
        <w:spacing w:before="40" w:after="60" w:line="276" w:lineRule="auto"/>
        <w:jc w:val="both"/>
      </w:pPr>
      <w:r>
        <w:rPr>
          <w:rFonts w:ascii="Times New Roman" w:hAnsi="Times New Roman"/>
          <w:b/>
          <w:sz w:val="22"/>
        </w:rPr>
        <w:t xml:space="preserve">Desktop Shell &amp; Frontend UI: </w:t>
      </w:r>
      <w:r>
        <w:rPr>
          <w:rFonts w:ascii="Times New Roman" w:hAnsi="Times New Roman"/>
          <w:sz w:val="22"/>
        </w:rPr>
        <w:t>Electron 28, React 19, TypeScript, Tailwind CSS, Lucide Icons, Three.js, React Three Fiber, WebGL</w:t>
      </w:r>
    </w:p>
    <w:p>
      <w:pPr>
        <w:pStyle w:val="ListBullet"/>
        <w:spacing w:before="40" w:after="60" w:line="276" w:lineRule="auto"/>
        <w:jc w:val="both"/>
      </w:pPr>
      <w:r>
        <w:rPr>
          <w:rFonts w:ascii="Times New Roman" w:hAnsi="Times New Roman"/>
          <w:b/>
          <w:sz w:val="22"/>
        </w:rPr>
        <w:t xml:space="preserve">Backend API &amp; Orchestration: </w:t>
      </w:r>
      <w:r>
        <w:rPr>
          <w:rFonts w:ascii="Times New Roman" w:hAnsi="Times New Roman"/>
          <w:sz w:val="22"/>
        </w:rPr>
        <w:t>FastAPI asynchronous web server, Uvicorn ASGI server, WebSockets for high-frequency SCADA telemetry broadcast</w:t>
      </w:r>
    </w:p>
    <w:p>
      <w:pPr>
        <w:pStyle w:val="ListBullet"/>
        <w:spacing w:before="40" w:after="60" w:line="276" w:lineRule="auto"/>
        <w:jc w:val="both"/>
      </w:pPr>
      <w:r>
        <w:rPr>
          <w:rFonts w:ascii="Times New Roman" w:hAnsi="Times New Roman"/>
          <w:b/>
          <w:sz w:val="22"/>
        </w:rPr>
        <w:t xml:space="preserve">Industrial Signal &amp; Math Libraries: </w:t>
      </w:r>
      <w:r>
        <w:rPr>
          <w:rFonts w:ascii="Times New Roman" w:hAnsi="Times New Roman"/>
          <w:sz w:val="22"/>
        </w:rPr>
        <w:t>NumPy, SciPy (Signal processing, Fast Fourier Transform, Butterworth filtering), Pydantic v2</w:t>
      </w:r>
    </w:p>
    <w:p>
      <w:pPr>
        <w:pStyle w:val="ListBullet"/>
        <w:spacing w:before="40" w:after="60" w:line="276" w:lineRule="auto"/>
        <w:jc w:val="both"/>
      </w:pPr>
      <w:r>
        <w:rPr>
          <w:rFonts w:ascii="Times New Roman" w:hAnsi="Times New Roman"/>
          <w:b/>
          <w:sz w:val="22"/>
        </w:rPr>
        <w:t xml:space="preserve">Data Storage &amp; Security: </w:t>
      </w:r>
      <w:r>
        <w:rPr>
          <w:rFonts w:ascii="Times New Roman" w:hAnsi="Times New Roman"/>
          <w:sz w:val="22"/>
        </w:rPr>
        <w:t>Embedded SQLite relational database, JSON-lines persistence, Python hashlib (SHA-256 chained block ledger)</w:t>
      </w:r>
    </w:p>
    <w:p>
      <w:pPr>
        <w:pStyle w:val="ListBullet"/>
        <w:spacing w:before="40" w:after="60" w:line="276" w:lineRule="auto"/>
        <w:jc w:val="both"/>
      </w:pPr>
      <w:r>
        <w:rPr>
          <w:rFonts w:ascii="Times New Roman" w:hAnsi="Times New Roman"/>
          <w:b/>
          <w:sz w:val="22"/>
        </w:rPr>
        <w:t xml:space="preserve">Industrial Standards &amp; Compliance: </w:t>
      </w:r>
      <w:r>
        <w:rPr>
          <w:rFonts w:ascii="Times New Roman" w:hAnsi="Times New Roman"/>
          <w:sz w:val="22"/>
        </w:rPr>
        <w:t>ISO 10816-3 (Mechanical vibration evaluation), API 670 (Machinery protection systems), IEC 61508 / IEC 61511 (Functional safety &amp; SIS), NIST SP 800-82 (ICS Security)</w:t>
      </w:r>
    </w:p>
    <w:p>
      <w:pPr>
        <w:pStyle w:val="ListBullet"/>
        <w:spacing w:before="40" w:after="60" w:line="276" w:lineRule="auto"/>
        <w:jc w:val="both"/>
      </w:pPr>
      <w:r>
        <w:rPr>
          <w:rFonts w:ascii="Times New Roman" w:hAnsi="Times New Roman"/>
          <w:b/>
          <w:sz w:val="22"/>
        </w:rPr>
        <w:t xml:space="preserve">Development &amp; Build Tooling: </w:t>
      </w:r>
      <w:r>
        <w:rPr>
          <w:rFonts w:ascii="Times New Roman" w:hAnsi="Times New Roman"/>
          <w:sz w:val="22"/>
        </w:rPr>
        <w:t>Visual Studio Code, Node.js 18+, Vite / npm, Git, Powershell 7 / Bash</w:t>
      </w:r>
    </w:p>
    <w:p>
      <w:r>
        <w:br w:type="page"/>
      </w:r>
    </w:p>
    <w:p>
      <w:pPr>
        <w:spacing w:before="280" w:after="120"/>
      </w:pPr>
      <w:r>
        <w:rPr>
          <w:rFonts w:ascii="Times New Roman" w:hAnsi="Times New Roman"/>
          <w:b/>
          <w:sz w:val="26"/>
        </w:rPr>
        <w:t>References</w:t>
      </w:r>
    </w:p>
    <w:p>
      <w:pPr>
        <w:spacing w:before="40" w:after="80" w:line="276" w:lineRule="auto"/>
        <w:ind w:left="432" w:hanging="432"/>
        <w:jc w:val="both"/>
      </w:pPr>
      <w:r>
        <w:rPr>
          <w:rFonts w:ascii="Times New Roman" w:hAnsi="Times New Roman"/>
          <w:sz w:val="20"/>
        </w:rPr>
        <w:t>[1] ISO 10816-3:2009. Mechanical vibration — Evaluation of machine vibration by measurements on non-rotating parts — Part 3: Industrial machines with nominal power above 15 kW and nominal speeds between 120 r/min and 15 000 r/min.</w:t>
      </w:r>
    </w:p>
    <w:p>
      <w:pPr>
        <w:spacing w:before="40" w:after="80" w:line="276" w:lineRule="auto"/>
        <w:ind w:left="432" w:hanging="432"/>
        <w:jc w:val="both"/>
      </w:pPr>
      <w:r>
        <w:rPr>
          <w:rFonts w:ascii="Times New Roman" w:hAnsi="Times New Roman"/>
          <w:sz w:val="20"/>
        </w:rPr>
        <w:t>[2] American Petroleum Institute (API). (2014). API Standard 670: Machinery Protection Systems (5th ed.). Washington, D.C.: API Publishing Services.</w:t>
      </w:r>
    </w:p>
    <w:p>
      <w:pPr>
        <w:spacing w:before="40" w:after="80" w:line="276" w:lineRule="auto"/>
        <w:ind w:left="432" w:hanging="432"/>
        <w:jc w:val="both"/>
      </w:pPr>
      <w:r>
        <w:rPr>
          <w:rFonts w:ascii="Times New Roman" w:hAnsi="Times New Roman"/>
          <w:sz w:val="20"/>
        </w:rPr>
        <w:t>[3] International Electrotechnical Commission (IEC). (2016). IEC 61511: Functional safety - Safety instrumented systems for the process industry sector. Geneva: IEC.</w:t>
      </w:r>
    </w:p>
    <w:p>
      <w:pPr>
        <w:spacing w:before="40" w:after="80" w:line="276" w:lineRule="auto"/>
        <w:ind w:left="432" w:hanging="432"/>
        <w:jc w:val="both"/>
      </w:pPr>
      <w:r>
        <w:rPr>
          <w:rFonts w:ascii="Times New Roman" w:hAnsi="Times New Roman"/>
          <w:sz w:val="20"/>
        </w:rPr>
        <w:t>[4] Gerganov, G., et al. (2023). llama.cpp: Port of Facebook's LLaMA model in C/C++. GitHub repository. https://github.com/ggerganov/llama.cpp</w:t>
      </w:r>
    </w:p>
    <w:p>
      <w:pPr>
        <w:spacing w:before="40" w:after="80" w:line="276" w:lineRule="auto"/>
        <w:ind w:left="432" w:hanging="432"/>
        <w:jc w:val="both"/>
      </w:pPr>
      <w:r>
        <w:rPr>
          <w:rFonts w:ascii="Times New Roman" w:hAnsi="Times New Roman"/>
          <w:sz w:val="20"/>
        </w:rPr>
        <w:t>[5] Bai, J., et al. (2024). Qwen2.5-VL: Technical Report on Vision-Language Multimodal Foundation Models. arXiv preprint arXiv:2409.12191.</w:t>
      </w:r>
    </w:p>
    <w:p>
      <w:pPr>
        <w:spacing w:before="40" w:after="80" w:line="276" w:lineRule="auto"/>
        <w:ind w:left="432" w:hanging="432"/>
        <w:jc w:val="both"/>
      </w:pPr>
      <w:r>
        <w:rPr>
          <w:rFonts w:ascii="Times New Roman" w:hAnsi="Times New Roman"/>
          <w:sz w:val="20"/>
        </w:rPr>
        <w:t>[6] Stouffer, K., Pease, M., Tang, C., Zimmerman, T., Pillitteri, V., &amp; Lubell, J. (2023). NIST Special Publication 800-82 Revision 3: Guide to Industrial Control Systems (ICS) Security. National Institute of Standards and Technology.</w:t>
      </w:r>
    </w:p>
    <w:p>
      <w:pPr>
        <w:spacing w:before="40" w:after="80" w:line="276" w:lineRule="auto"/>
        <w:ind w:left="432" w:hanging="432"/>
        <w:jc w:val="both"/>
      </w:pPr>
      <w:r>
        <w:rPr>
          <w:rFonts w:ascii="Times New Roman" w:hAnsi="Times New Roman"/>
          <w:sz w:val="20"/>
        </w:rPr>
        <w:t>[7] Touvron, H., Martin, L., Stone, K., Albert, P., Almahairi, A., et al. (2023). Llama 2: Open Foundation and Fine-Tuned Chat Models. arXiv preprint arXiv:2307.09288.</w:t>
      </w:r>
    </w:p>
    <w:p>
      <w:pPr>
        <w:spacing w:before="40" w:after="80" w:line="276" w:lineRule="auto"/>
        <w:ind w:left="432" w:hanging="432"/>
        <w:jc w:val="both"/>
      </w:pPr>
      <w:r>
        <w:rPr>
          <w:rFonts w:ascii="Times New Roman" w:hAnsi="Times New Roman"/>
          <w:sz w:val="20"/>
        </w:rPr>
        <w:t>[8] Dettmers, T., Pagnoni, A., Holtzman, A., &amp; Zettlemoyer, L. (2023). QLoRA: Efficient Finetuning of Quantized LLMs. Advances in Neural Information Processing Systems, 36, 10088–10115.</w:t>
      </w:r>
    </w:p>
    <w:p>
      <w:pPr>
        <w:spacing w:before="40" w:after="80" w:line="276" w:lineRule="auto"/>
        <w:ind w:left="432" w:hanging="432"/>
        <w:jc w:val="both"/>
      </w:pPr>
      <w:r>
        <w:rPr>
          <w:rFonts w:ascii="Times New Roman" w:hAnsi="Times New Roman"/>
          <w:sz w:val="20"/>
        </w:rPr>
        <w:t>[9] Cabanes, I., et al. (2008). Early fault detection in rotating machines based on spectral kurtosis and vibration harmonics. Mechanical Systems and Signal Processing, 22(4), 846–858.</w:t>
      </w:r>
    </w:p>
    <w:p>
      <w:pPr>
        <w:spacing w:before="40" w:after="80" w:line="276" w:lineRule="auto"/>
        <w:ind w:left="432" w:hanging="432"/>
        <w:jc w:val="both"/>
      </w:pPr>
      <w:r>
        <w:rPr>
          <w:rFonts w:ascii="Times New Roman" w:hAnsi="Times New Roman"/>
          <w:sz w:val="20"/>
        </w:rPr>
        <w:t>[10] Randall, R. B., &amp; Antoni, J. (2011). Rolling element bearing diagnostics—A tutorial. Mechanical Systems and Signal Processing, 25(2), 485–520.</w:t>
      </w:r>
    </w:p>
    <w:p>
      <w:pPr>
        <w:spacing w:before="40" w:after="80" w:line="276" w:lineRule="auto"/>
        <w:ind w:left="432" w:hanging="432"/>
        <w:jc w:val="both"/>
      </w:pPr>
      <w:r>
        <w:rPr>
          <w:rFonts w:ascii="Times New Roman" w:hAnsi="Times New Roman"/>
          <w:sz w:val="20"/>
        </w:rPr>
        <w:t>[11] Haber, M. J., et al. (2020). Digital Twin Framework for Industrial Rotating Machinery with Dynamic Degradation Models. IEEE Transactions on Industrial Informatics, 16(8), 5345–5355.</w:t>
      </w:r>
    </w:p>
    <w:p>
      <w:pPr>
        <w:spacing w:before="40" w:after="80" w:line="276" w:lineRule="auto"/>
        <w:ind w:left="432" w:hanging="432"/>
        <w:jc w:val="both"/>
      </w:pPr>
      <w:r>
        <w:rPr>
          <w:rFonts w:ascii="Times New Roman" w:hAnsi="Times New Roman"/>
          <w:sz w:val="20"/>
        </w:rPr>
        <w:t>[12] Grieves, M., &amp; Vickers, J. (2017). Digital Twin: Mitigating Unpredictable, Undesirable Emergent Behavior in Complex Systems. In Transdisciplinary Perspectives on Complex Systems (pp. 85–113). Springer, Cham.</w:t>
      </w:r>
    </w:p>
    <w:p>
      <w:pPr>
        <w:spacing w:before="40" w:after="80" w:line="276" w:lineRule="auto"/>
        <w:ind w:left="432" w:hanging="432"/>
        <w:jc w:val="both"/>
      </w:pPr>
      <w:r>
        <w:rPr>
          <w:rFonts w:ascii="Times New Roman" w:hAnsi="Times New Roman"/>
          <w:sz w:val="20"/>
        </w:rPr>
        <w:t>[13] Parisi, G. I., Kemker, R., Part, J. L., Kanan, C., &amp; Wermter, S. (2019). Continual lifelong learning with neural networks: A review. Neural Networks, 113, 54–71.</w:t>
      </w:r>
    </w:p>
    <w:p>
      <w:pPr>
        <w:spacing w:before="40" w:after="80" w:line="276" w:lineRule="auto"/>
        <w:ind w:left="432" w:hanging="432"/>
        <w:jc w:val="both"/>
      </w:pPr>
      <w:r>
        <w:rPr>
          <w:rFonts w:ascii="Times New Roman" w:hAnsi="Times New Roman"/>
          <w:sz w:val="20"/>
        </w:rPr>
        <w:t>[14] Vaswani, A., Shazeer, N., Parmar, N., Uszkoreit, J., Jones, L., Gomez, A. N., Kaiser, L., &amp; Polosukhin, I. (2017). Attention is all you need. Advances in Neural Information Processing Systems, 30, 5998–6008.</w:t>
      </w:r>
    </w:p>
    <w:p>
      <w:pPr>
        <w:spacing w:before="40" w:after="80" w:line="276" w:lineRule="auto"/>
        <w:ind w:left="432" w:hanging="432"/>
        <w:jc w:val="both"/>
      </w:pPr>
      <w:r>
        <w:rPr>
          <w:rFonts w:ascii="Times New Roman" w:hAnsi="Times New Roman"/>
          <w:sz w:val="20"/>
        </w:rPr>
        <w:t>[15] ISO/IEC 27001:2022. Information security, cybersecurity and privacy protection — Information security management systems — Requirements. International Organization for Standardization.</w:t>
      </w:r>
    </w:p>
    <w:p>
      <w:pPr>
        <w:spacing w:before="40" w:after="80" w:line="276" w:lineRule="auto"/>
        <w:ind w:left="432" w:hanging="432"/>
        <w:jc w:val="both"/>
      </w:pPr>
      <w:r>
        <w:rPr>
          <w:rFonts w:ascii="Times New Roman" w:hAnsi="Times New Roman"/>
          <w:sz w:val="20"/>
        </w:rPr>
        <w:t>[16] Sandhu, R. S., Coyne, E. J., Feinstein, H. L., &amp; Youman, C. E. (1996). Role-based access control models. IEEE Computer, 29(2), 38–47.</w:t>
      </w:r>
    </w:p>
    <w:p>
      <w:pPr>
        <w:spacing w:before="40" w:after="80" w:line="276" w:lineRule="auto"/>
        <w:ind w:left="432" w:hanging="432"/>
        <w:jc w:val="both"/>
      </w:pPr>
      <w:r>
        <w:rPr>
          <w:rFonts w:ascii="Times New Roman" w:hAnsi="Times New Roman"/>
          <w:sz w:val="20"/>
        </w:rPr>
        <w:t>[17] Narayanan, A., et al. (2016). Bitcoin and Cryptocurrency Technologies: A Comprehensive Introduction (Cryptographic Hash Functions and Ledgers). Princeton University Press.</w:t>
      </w:r>
    </w:p>
    <w:p>
      <w:pPr>
        <w:spacing w:before="40" w:after="80" w:line="276" w:lineRule="auto"/>
        <w:ind w:left="432" w:hanging="432"/>
        <w:jc w:val="both"/>
      </w:pPr>
      <w:r>
        <w:rPr>
          <w:rFonts w:ascii="Times New Roman" w:hAnsi="Times New Roman"/>
          <w:sz w:val="20"/>
        </w:rPr>
        <w:t>[18] Cabitza, F., Campagner, A., &amp; Balsano, C. (2020). Bridging the gap between artificial intelligence and clinical practice / mission critical operations. Artificial Intelligence in Medicine, 107, 101908.</w:t>
      </w:r>
    </w:p>
    <w:p>
      <w:pPr>
        <w:spacing w:before="40" w:after="80" w:line="276" w:lineRule="auto"/>
        <w:ind w:left="432" w:hanging="432"/>
        <w:jc w:val="both"/>
      </w:pPr>
      <w:r>
        <w:rPr>
          <w:rFonts w:ascii="Times New Roman" w:hAnsi="Times New Roman"/>
          <w:sz w:val="20"/>
        </w:rPr>
        <w:t>[19] NVIDIA Corporation. (2024). NVIDIA TensorRT-LLM and cuBLAS Optimization Guide for Low-Latency Industrial Inference. NVIDIA Developer Documentation.</w:t>
      </w:r>
    </w:p>
    <w:p>
      <w:pPr>
        <w:spacing w:before="40" w:after="80" w:line="276" w:lineRule="auto"/>
        <w:ind w:left="432" w:hanging="432"/>
        <w:jc w:val="both"/>
      </w:pPr>
      <w:r>
        <w:rPr>
          <w:rFonts w:ascii="Times New Roman" w:hAnsi="Times New Roman"/>
          <w:sz w:val="20"/>
        </w:rPr>
        <w:t>[20] Mangalore Refinery and Petrochemicals Limited (MRPL). (2024). Industrial Automation &amp; Process Safety Guidelines for SCADA Systems. Technical Documentation.</w:t>
      </w:r>
    </w:p>
    <w:p>
      <w:pPr>
        <w:spacing w:before="40" w:after="80" w:line="276" w:lineRule="auto"/>
        <w:ind w:left="432" w:hanging="432"/>
        <w:jc w:val="both"/>
      </w:pPr>
      <w:r>
        <w:rPr>
          <w:rFonts w:ascii="Times New Roman" w:hAnsi="Times New Roman"/>
          <w:sz w:val="20"/>
        </w:rPr>
        <w:t>[21] Sovereign Industrial AI Workbench — Official Open-Source Repository &amp; Architecture. https://github.com/mukuld1511-bit/Locall-Agentic-AI-Workbench (2026).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