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MANGALORE REFINERY AND PETROCHEMICALS LIMITED (MRPL)</w:t>
      </w:r>
    </w:p>
    <w:p>
      <w:r>
        <w:rPr>
          <w:b/>
        </w:rPr>
        <w:t>TECHNICAL SERVICES &amp; PLANT INSPECTION DIVISION</w:t>
        <w:br/>
        <w:t>FORMAL ENGINEERING APPROVAL &amp; RECTIFICATION NOTE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MRPL-APRV-E-1102-2026-V1</w:t>
            </w:r>
          </w:p>
        </w:tc>
      </w:tr>
      <w:tr>
        <w:tc>
          <w:tcPr>
            <w:tcW w:type="dxa" w:w="4320"/>
          </w:tcPr>
          <w:p>
            <w:r>
              <w:t>Date of Generation</w:t>
            </w:r>
          </w:p>
        </w:tc>
        <w:tc>
          <w:tcPr>
            <w:tcW w:type="dxa" w:w="4320"/>
          </w:tcPr>
          <w:p>
            <w:r>
              <w:t>2026-09-08 16:14 UTC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AI Sovereign Workbench (Requesting Officer: usr_d055ea68)</w:t>
            </w:r>
          </w:p>
        </w:tc>
      </w:tr>
      <w:tr>
        <w:tc>
          <w:tcPr>
            <w:tcW w:type="dxa" w:w="4320"/>
          </w:tcPr>
          <w:p>
            <w:r>
              <w:t>Equipment Tag</w:t>
            </w:r>
          </w:p>
        </w:tc>
        <w:tc>
          <w:tcPr>
            <w:tcW w:type="dxa" w:w="4320"/>
          </w:tcPr>
          <w:p>
            <w:r>
              <w:t>E-1102</w:t>
            </w:r>
          </w:p>
        </w:tc>
      </w:tr>
      <w:tr>
        <w:tc>
          <w:tcPr>
            <w:tcW w:type="dxa" w:w="4320"/>
          </w:tcPr>
          <w:p>
            <w:r>
              <w:t>Regulatory Standard</w:t>
            </w:r>
          </w:p>
        </w:tc>
        <w:tc>
          <w:tcPr>
            <w:tcW w:type="dxa" w:w="4320"/>
          </w:tcPr>
          <w:p>
            <w:r>
              <w:t>API 510 10th Edition / OISD-STD-129</w:t>
            </w:r>
          </w:p>
        </w:tc>
      </w:tr>
    </w:tbl>
    <w:p>
      <w:pPr>
        <w:pStyle w:val="Heading1"/>
      </w:pPr>
      <w:r>
        <w:t>1. Executive Summary &amp; Inspection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Compliance Status</w:t>
            </w:r>
          </w:p>
        </w:tc>
      </w:tr>
      <w:tr>
        <w:tc>
          <w:tcPr>
            <w:tcW w:type="dxa" w:w="2880"/>
          </w:tcPr>
          <w:p>
            <w:r>
              <w:t>Nominal Shell Thickness</w:t>
            </w:r>
          </w:p>
        </w:tc>
        <w:tc>
          <w:tcPr>
            <w:tcW w:type="dxa" w:w="2880"/>
          </w:tcPr>
          <w:p>
            <w:r>
              <w:t>12.0 mm</w:t>
            </w:r>
          </w:p>
        </w:tc>
        <w:tc>
          <w:tcPr>
            <w:tcW w:type="dxa" w:w="2880"/>
          </w:tcPr>
          <w:p>
            <w:r>
              <w:t>Design Baseline</w:t>
            </w:r>
          </w:p>
        </w:tc>
      </w:tr>
      <w:tr>
        <w:tc>
          <w:tcPr>
            <w:tcW w:type="dxa" w:w="2880"/>
          </w:tcPr>
          <w:p>
            <w:r>
              <w:t>Measured Ultrasonic Thickness</w:t>
            </w:r>
          </w:p>
        </w:tc>
        <w:tc>
          <w:tcPr>
            <w:tcW w:type="dxa" w:w="2880"/>
          </w:tcPr>
          <w:p>
            <w:r>
              <w:t>8.4 mm</w:t>
            </w:r>
          </w:p>
        </w:tc>
        <w:tc>
          <w:tcPr>
            <w:tcW w:type="dxa" w:w="2880"/>
          </w:tcPr>
          <w:p>
            <w:r>
              <w:t>Compliant</w:t>
            </w:r>
          </w:p>
        </w:tc>
      </w:tr>
      <w:tr>
        <w:tc>
          <w:tcPr>
            <w:tcW w:type="dxa" w:w="2880"/>
          </w:tcPr>
          <w:p>
            <w:r>
              <w:t>Minimum Permissible Thickness (T_min)</w:t>
            </w:r>
          </w:p>
        </w:tc>
        <w:tc>
          <w:tcPr>
            <w:tcW w:type="dxa" w:w="2880"/>
          </w:tcPr>
          <w:p>
            <w:r>
              <w:t>6.5 mm</w:t>
            </w:r>
          </w:p>
        </w:tc>
        <w:tc>
          <w:tcPr>
            <w:tcW w:type="dxa" w:w="2880"/>
          </w:tcPr>
          <w:p>
            <w:r>
              <w:t>Threshold (6.5 mm)</w:t>
            </w:r>
          </w:p>
        </w:tc>
      </w:tr>
      <w:tr>
        <w:tc>
          <w:tcPr>
            <w:tcW w:type="dxa" w:w="2880"/>
          </w:tcPr>
          <w:p>
            <w:r>
              <w:t>Calculated Corrosion Rate</w:t>
            </w:r>
          </w:p>
        </w:tc>
        <w:tc>
          <w:tcPr>
            <w:tcW w:type="dxa" w:w="2880"/>
          </w:tcPr>
          <w:p>
            <w:r>
              <w:t>0.6 mm/year</w:t>
            </w:r>
          </w:p>
        </w:tc>
        <w:tc>
          <w:tcPr>
            <w:tcW w:type="dxa" w:w="2880"/>
          </w:tcPr>
          <w:p>
            <w:r>
              <w:t>Active Monitoring</w:t>
            </w:r>
          </w:p>
        </w:tc>
      </w:tr>
      <w:tr>
        <w:tc>
          <w:tcPr>
            <w:tcW w:type="dxa" w:w="2880"/>
          </w:tcPr>
          <w:p>
            <w:r>
              <w:t>Estimated Remaining Service Life</w:t>
            </w:r>
          </w:p>
        </w:tc>
        <w:tc>
          <w:tcPr>
            <w:tcW w:type="dxa" w:w="2880"/>
          </w:tcPr>
          <w:p>
            <w:r>
              <w:t>3.17 years</w:t>
            </w:r>
          </w:p>
        </w:tc>
        <w:tc>
          <w:tcPr>
            <w:tcW w:type="dxa" w:w="2880"/>
          </w:tcPr>
          <w:p>
            <w:r>
              <w:t>Operational (&gt; 2 yr)</w:t>
            </w:r>
          </w:p>
        </w:tc>
      </w:tr>
    </w:tbl>
    <w:p>
      <w:pPr>
        <w:pStyle w:val="Heading1"/>
      </w:pPr>
      <w:r>
        <w:t>2. Regulatory Compliance Evaluation</w:t>
      </w:r>
    </w:p>
    <w:p>
      <w:r>
        <w:t>The measured wall thickness exceeds the minimum retirement thickness by 1.9 mm. Remaining service life is calculated at 3.17 years under current operating severities. In accordance with MRPL SOP-HEX-042 Clause 4.3, equipment may continue normal operation subject to mandatory ultrasonic thickness survey during the scheduled 24-month turnaround.</w:t>
      </w:r>
    </w:p>
    <w:p>
      <w:pPr>
        <w:pStyle w:val="Heading1"/>
      </w:pPr>
      <w:r>
        <w:t>3. Mandatory Directives &amp; Actions</w:t>
      </w:r>
    </w:p>
    <w:p>
      <w:r>
        <w:t>[X] Continue CDU/VDU operation under normal process control envelope.</w:t>
      </w:r>
    </w:p>
    <w:p>
      <w:r>
        <w:t>[X] Flag Tag E-1102 on SAP PM Inspection Registry for Turnaround 2028.</w:t>
      </w:r>
    </w:p>
    <w:p>
      <w:r>
        <w:t>[ ] Parameter Override: NOT REQUIRED.</w:t>
      </w:r>
    </w:p>
    <w:p>
      <w:pPr>
        <w:pStyle w:val="Heading1"/>
      </w:pPr>
      <w:r>
        <w:t>4. Formal Approval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Designation</w:t>
            </w:r>
          </w:p>
        </w:tc>
        <w:tc>
          <w:tcPr>
            <w:tcW w:type="dxa" w:w="4320"/>
          </w:tcPr>
          <w:p>
            <w:r>
              <w:t>Signature / Approval State</w:t>
            </w:r>
          </w:p>
        </w:tc>
      </w:tr>
      <w:tr>
        <w:tc>
          <w:tcPr>
            <w:tcW w:type="dxa" w:w="4320"/>
          </w:tcPr>
          <w:p>
            <w:r>
              <w:t>Superintendent (Inspection)</w:t>
            </w:r>
          </w:p>
        </w:tc>
        <w:tc>
          <w:tcPr>
            <w:tcW w:type="dxa" w:w="4320"/>
          </w:tcPr>
          <w:p>
            <w:r>
              <w:t>APPROVED (Digital System Verification)</w:t>
            </w:r>
          </w:p>
        </w:tc>
      </w:tr>
      <w:tr>
        <w:tc>
          <w:tcPr>
            <w:tcW w:type="dxa" w:w="4320"/>
          </w:tcPr>
          <w:p>
            <w:r>
              <w:t>Chief General Manager (Technical)</w:t>
            </w:r>
          </w:p>
        </w:tc>
        <w:tc>
          <w:tcPr>
            <w:tcW w:type="dxa" w:w="4320"/>
          </w:tcPr>
          <w:p>
            <w:r>
              <w:t>APPROVED (Air-Gapped Sovereign AI)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