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85" w:type="dxa"/>
        <w:tblLook w:val="04A0" w:firstRow="1" w:lastRow="0" w:firstColumn="1" w:lastColumn="0" w:noHBand="0" w:noVBand="1"/>
      </w:tblPr>
      <w:tblGrid>
        <w:gridCol w:w="4045"/>
        <w:gridCol w:w="3150"/>
        <w:gridCol w:w="2790"/>
      </w:tblGrid>
      <w:tr w:rsidR="001A33A0" w:rsidTr="00224A60">
        <w:tc>
          <w:tcPr>
            <w:tcW w:w="4045" w:type="dxa"/>
          </w:tcPr>
          <w:p w:rsidR="001A33A0" w:rsidRPr="00E606A2" w:rsidRDefault="001A33A0" w:rsidP="00224A60">
            <w:pPr>
              <w:spacing w:before="100" w:beforeAutospacing="1" w:after="100" w:afterAutospacing="1"/>
              <w:rPr>
                <w:rFonts w:eastAsia="Times New Roman" w:cstheme="minorHAnsi"/>
                <w:b/>
                <w:bCs/>
                <w:color w:val="000000"/>
                <w:sz w:val="24"/>
                <w:szCs w:val="24"/>
              </w:rPr>
            </w:pPr>
            <w:r w:rsidRPr="00E606A2">
              <w:rPr>
                <w:rFonts w:eastAsia="Times New Roman" w:cstheme="minorHAnsi"/>
                <w:b/>
                <w:bCs/>
                <w:color w:val="000000"/>
                <w:sz w:val="24"/>
                <w:szCs w:val="24"/>
              </w:rPr>
              <w:t xml:space="preserve">CATEGORY </w:t>
            </w:r>
          </w:p>
        </w:tc>
        <w:tc>
          <w:tcPr>
            <w:tcW w:w="3150" w:type="dxa"/>
          </w:tcPr>
          <w:p w:rsidR="001A33A0" w:rsidRPr="00E606A2" w:rsidRDefault="001A33A0" w:rsidP="00224A60">
            <w:pPr>
              <w:spacing w:before="100" w:beforeAutospacing="1" w:after="100" w:afterAutospacing="1"/>
              <w:rPr>
                <w:rFonts w:eastAsia="Times New Roman" w:cstheme="minorHAnsi"/>
                <w:b/>
                <w:bCs/>
                <w:color w:val="000000"/>
                <w:sz w:val="24"/>
                <w:szCs w:val="24"/>
              </w:rPr>
            </w:pPr>
            <w:r w:rsidRPr="00E606A2">
              <w:rPr>
                <w:rFonts w:eastAsia="Times New Roman" w:cstheme="minorHAnsi"/>
                <w:b/>
                <w:bCs/>
                <w:color w:val="000000"/>
                <w:sz w:val="24"/>
                <w:szCs w:val="24"/>
              </w:rPr>
              <w:t>BEFORE JANUARY 31, 2023</w:t>
            </w:r>
          </w:p>
        </w:tc>
        <w:tc>
          <w:tcPr>
            <w:tcW w:w="2790" w:type="dxa"/>
          </w:tcPr>
          <w:p w:rsidR="001A33A0" w:rsidRPr="00E606A2" w:rsidRDefault="001A33A0" w:rsidP="00224A60">
            <w:pPr>
              <w:spacing w:before="100" w:beforeAutospacing="1" w:after="100" w:afterAutospacing="1"/>
              <w:rPr>
                <w:rFonts w:eastAsia="Times New Roman" w:cstheme="minorHAnsi"/>
                <w:b/>
                <w:bCs/>
                <w:color w:val="000000"/>
                <w:sz w:val="24"/>
                <w:szCs w:val="24"/>
              </w:rPr>
            </w:pPr>
            <w:r w:rsidRPr="00E606A2">
              <w:rPr>
                <w:rFonts w:eastAsia="Times New Roman" w:cstheme="minorHAnsi"/>
                <w:b/>
                <w:bCs/>
                <w:color w:val="000000"/>
                <w:sz w:val="24"/>
                <w:szCs w:val="24"/>
              </w:rPr>
              <w:t>AFTER JANUARY 31, 2023</w:t>
            </w:r>
          </w:p>
        </w:tc>
      </w:tr>
      <w:tr w:rsidR="001A33A0" w:rsidTr="00224A60">
        <w:tc>
          <w:tcPr>
            <w:tcW w:w="4045"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Students/Post-doctoral/Early career scientists</w:t>
            </w:r>
          </w:p>
        </w:tc>
        <w:tc>
          <w:tcPr>
            <w:tcW w:w="3150"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200</w:t>
            </w:r>
          </w:p>
        </w:tc>
        <w:tc>
          <w:tcPr>
            <w:tcW w:w="2790"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300</w:t>
            </w:r>
          </w:p>
        </w:tc>
      </w:tr>
      <w:tr w:rsidR="001A33A0" w:rsidTr="00224A60">
        <w:tc>
          <w:tcPr>
            <w:tcW w:w="4045"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 xml:space="preserve">Members from Consortium affiliate organizations (PAMCA, </w:t>
            </w:r>
            <w:proofErr w:type="spellStart"/>
            <w:r>
              <w:rPr>
                <w:rFonts w:eastAsia="Times New Roman" w:cstheme="minorHAnsi"/>
                <w:color w:val="000000"/>
                <w:sz w:val="24"/>
                <w:szCs w:val="24"/>
              </w:rPr>
              <w:t>AfBSA</w:t>
            </w:r>
            <w:proofErr w:type="spellEnd"/>
            <w:r>
              <w:rPr>
                <w:rFonts w:eastAsia="Times New Roman" w:cstheme="minorHAnsi"/>
                <w:color w:val="000000"/>
                <w:sz w:val="24"/>
                <w:szCs w:val="24"/>
              </w:rPr>
              <w:t xml:space="preserve">, MIM, </w:t>
            </w:r>
            <w:proofErr w:type="spellStart"/>
            <w:r>
              <w:rPr>
                <w:rFonts w:eastAsia="Times New Roman" w:cstheme="minorHAnsi"/>
                <w:color w:val="000000"/>
                <w:sz w:val="24"/>
                <w:szCs w:val="24"/>
              </w:rPr>
              <w:t>AfOHNET</w:t>
            </w:r>
            <w:proofErr w:type="spellEnd"/>
            <w:r>
              <w:rPr>
                <w:rFonts w:eastAsia="Times New Roman" w:cstheme="minorHAnsi"/>
                <w:color w:val="000000"/>
                <w:sz w:val="24"/>
                <w:szCs w:val="24"/>
              </w:rPr>
              <w:t xml:space="preserve"> and NASAC)</w:t>
            </w:r>
          </w:p>
        </w:tc>
        <w:tc>
          <w:tcPr>
            <w:tcW w:w="3150"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250</w:t>
            </w:r>
          </w:p>
        </w:tc>
        <w:tc>
          <w:tcPr>
            <w:tcW w:w="2790"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350</w:t>
            </w:r>
          </w:p>
        </w:tc>
      </w:tr>
      <w:tr w:rsidR="001A33A0" w:rsidTr="00224A60">
        <w:tc>
          <w:tcPr>
            <w:tcW w:w="4045"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Nonmembers (scientists, academics, and professionals)</w:t>
            </w:r>
          </w:p>
        </w:tc>
        <w:tc>
          <w:tcPr>
            <w:tcW w:w="3150"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350</w:t>
            </w:r>
          </w:p>
        </w:tc>
        <w:tc>
          <w:tcPr>
            <w:tcW w:w="2790" w:type="dxa"/>
          </w:tcPr>
          <w:p w:rsidR="001A33A0" w:rsidRDefault="001A33A0" w:rsidP="00224A60">
            <w:pPr>
              <w:spacing w:before="100" w:beforeAutospacing="1" w:after="100" w:afterAutospacing="1"/>
              <w:rPr>
                <w:rFonts w:eastAsia="Times New Roman" w:cstheme="minorHAnsi"/>
                <w:color w:val="000000"/>
                <w:sz w:val="24"/>
                <w:szCs w:val="24"/>
              </w:rPr>
            </w:pPr>
            <w:r>
              <w:rPr>
                <w:rFonts w:eastAsia="Times New Roman" w:cstheme="minorHAnsi"/>
                <w:color w:val="000000"/>
                <w:sz w:val="24"/>
                <w:szCs w:val="24"/>
              </w:rPr>
              <w:t>450</w:t>
            </w:r>
          </w:p>
        </w:tc>
      </w:tr>
    </w:tbl>
    <w:p w:rsidR="001A33A0" w:rsidRDefault="001A33A0" w:rsidP="001A33A0">
      <w:pPr>
        <w:spacing w:after="0" w:line="240" w:lineRule="auto"/>
        <w:jc w:val="both"/>
        <w:rPr>
          <w:rFonts w:eastAsia="Times New Roman" w:cstheme="minorHAnsi"/>
          <w:color w:val="000000"/>
          <w:sz w:val="24"/>
          <w:szCs w:val="24"/>
        </w:rPr>
      </w:pPr>
    </w:p>
    <w:p w:rsidR="001A33A0" w:rsidRDefault="001A33A0" w:rsidP="001A33A0">
      <w:pPr>
        <w:spacing w:after="0" w:line="240" w:lineRule="auto"/>
        <w:jc w:val="both"/>
        <w:rPr>
          <w:rFonts w:eastAsia="Times New Roman" w:cstheme="minorHAnsi"/>
          <w:color w:val="000000"/>
          <w:sz w:val="24"/>
          <w:szCs w:val="24"/>
        </w:rPr>
      </w:pPr>
      <w:r>
        <w:rPr>
          <w:rFonts w:eastAsia="Times New Roman" w:cstheme="minorHAnsi"/>
          <w:color w:val="000000"/>
          <w:sz w:val="24"/>
          <w:szCs w:val="24"/>
        </w:rPr>
        <w:t>All costs will enable the participant to attend the Preconference Courses/ Symposia/ Workshop and the Conference. Costs excludes travel and accommodation.</w:t>
      </w:r>
    </w:p>
    <w:p w:rsidR="001A33A0" w:rsidRDefault="001A33A0" w:rsidP="001A33A0">
      <w:pPr>
        <w:spacing w:after="0" w:line="240" w:lineRule="auto"/>
        <w:jc w:val="both"/>
        <w:rPr>
          <w:rFonts w:eastAsia="Times New Roman" w:cstheme="minorHAnsi"/>
          <w:color w:val="000000"/>
          <w:sz w:val="24"/>
          <w:szCs w:val="24"/>
        </w:rPr>
      </w:pPr>
    </w:p>
    <w:p w:rsidR="001A33A0" w:rsidRPr="001A33A0" w:rsidRDefault="001A33A0" w:rsidP="001A33A0">
      <w:pPr>
        <w:spacing w:after="0" w:line="240" w:lineRule="auto"/>
        <w:jc w:val="both"/>
        <w:rPr>
          <w:rFonts w:eastAsia="Times New Roman" w:cstheme="minorHAnsi"/>
          <w:b/>
          <w:color w:val="000000"/>
          <w:sz w:val="24"/>
          <w:szCs w:val="24"/>
        </w:rPr>
      </w:pPr>
      <w:r w:rsidRPr="001A33A0">
        <w:rPr>
          <w:rFonts w:eastAsia="Times New Roman" w:cstheme="minorHAnsi"/>
          <w:b/>
          <w:color w:val="000000"/>
          <w:sz w:val="24"/>
          <w:szCs w:val="24"/>
        </w:rPr>
        <w:t>African Genetic Biocontrol Consortium Conference Cancellation Policy</w:t>
      </w:r>
    </w:p>
    <w:p w:rsidR="001A33A0" w:rsidRPr="001A33A0" w:rsidRDefault="001A33A0" w:rsidP="001A33A0">
      <w:pPr>
        <w:spacing w:after="0" w:line="240" w:lineRule="auto"/>
        <w:jc w:val="both"/>
        <w:rPr>
          <w:rFonts w:eastAsia="Times New Roman" w:cstheme="minorHAnsi"/>
          <w:b/>
          <w:color w:val="000000"/>
          <w:sz w:val="24"/>
          <w:szCs w:val="24"/>
        </w:rPr>
      </w:pPr>
    </w:p>
    <w:p w:rsidR="001A33A0" w:rsidRPr="001A33A0" w:rsidRDefault="001A33A0" w:rsidP="001A33A0">
      <w:pPr>
        <w:pStyle w:val="ListParagraph"/>
        <w:numPr>
          <w:ilvl w:val="0"/>
          <w:numId w:val="1"/>
        </w:numPr>
        <w:spacing w:after="0" w:line="240" w:lineRule="auto"/>
        <w:jc w:val="both"/>
        <w:rPr>
          <w:rFonts w:eastAsia="Times New Roman" w:cstheme="minorHAnsi"/>
          <w:color w:val="000000"/>
          <w:sz w:val="24"/>
          <w:szCs w:val="24"/>
        </w:rPr>
      </w:pPr>
      <w:r w:rsidRPr="001A33A0">
        <w:rPr>
          <w:rFonts w:eastAsia="Times New Roman" w:cstheme="minorHAnsi"/>
          <w:color w:val="000000"/>
          <w:sz w:val="24"/>
          <w:szCs w:val="24"/>
        </w:rPr>
        <w:t>If a prospective conference participant is unable to attend an event for any reason they may substitute, by arrangement with the African Genetic Biocontrol Consortium Conference Organizing Team, someone else to attend in their place.</w:t>
      </w:r>
    </w:p>
    <w:p w:rsidR="001A33A0" w:rsidRPr="001A33A0" w:rsidRDefault="001A33A0" w:rsidP="001A33A0">
      <w:pPr>
        <w:pStyle w:val="ListParagraph"/>
        <w:numPr>
          <w:ilvl w:val="0"/>
          <w:numId w:val="1"/>
        </w:numPr>
        <w:spacing w:after="0" w:line="240" w:lineRule="auto"/>
        <w:jc w:val="both"/>
        <w:rPr>
          <w:rFonts w:eastAsia="Times New Roman" w:cstheme="minorHAnsi"/>
          <w:color w:val="000000"/>
          <w:sz w:val="24"/>
          <w:szCs w:val="24"/>
        </w:rPr>
      </w:pPr>
      <w:r w:rsidRPr="001A33A0">
        <w:rPr>
          <w:rFonts w:eastAsia="Times New Roman" w:cstheme="minorHAnsi"/>
          <w:color w:val="000000"/>
          <w:sz w:val="24"/>
          <w:szCs w:val="24"/>
        </w:rPr>
        <w:t>If a prospective conference participant is unable to attend and</w:t>
      </w:r>
      <w:r w:rsidRPr="001A33A0">
        <w:t xml:space="preserve"> </w:t>
      </w:r>
      <w:r w:rsidRPr="001A33A0">
        <w:rPr>
          <w:rFonts w:eastAsia="Times New Roman" w:cstheme="minorHAnsi"/>
          <w:color w:val="000000"/>
          <w:sz w:val="24"/>
          <w:szCs w:val="24"/>
        </w:rPr>
        <w:t>African Genetic Biocontrol Consortium Conference Organizing Team is informed in writing by the final date for payment that i</w:t>
      </w:r>
      <w:bookmarkStart w:id="0" w:name="_GoBack"/>
      <w:bookmarkEnd w:id="0"/>
      <w:r w:rsidRPr="001A33A0">
        <w:rPr>
          <w:rFonts w:eastAsia="Times New Roman" w:cstheme="minorHAnsi"/>
          <w:color w:val="000000"/>
          <w:sz w:val="24"/>
          <w:szCs w:val="24"/>
        </w:rPr>
        <w:t>s displayed on the website for the conference, the fee paid can be left with</w:t>
      </w:r>
      <w:r w:rsidRPr="001A33A0">
        <w:t xml:space="preserve"> </w:t>
      </w:r>
      <w:r w:rsidRPr="001A33A0">
        <w:rPr>
          <w:rFonts w:eastAsia="Times New Roman" w:cstheme="minorHAnsi"/>
          <w:color w:val="000000"/>
          <w:sz w:val="24"/>
          <w:szCs w:val="24"/>
        </w:rPr>
        <w:t>African Genetic Biocontrol Consortium as payment towards a place at the next Annual Conference the following year.</w:t>
      </w:r>
    </w:p>
    <w:p w:rsidR="001A33A0" w:rsidRPr="001A33A0" w:rsidRDefault="001A33A0" w:rsidP="001A33A0">
      <w:pPr>
        <w:pStyle w:val="ListParagraph"/>
        <w:numPr>
          <w:ilvl w:val="0"/>
          <w:numId w:val="1"/>
        </w:numPr>
        <w:spacing w:after="0" w:line="240" w:lineRule="auto"/>
        <w:jc w:val="both"/>
        <w:rPr>
          <w:rFonts w:eastAsia="Times New Roman" w:cstheme="minorHAnsi"/>
          <w:color w:val="000000"/>
          <w:sz w:val="24"/>
          <w:szCs w:val="24"/>
        </w:rPr>
      </w:pPr>
      <w:r w:rsidRPr="001A33A0">
        <w:rPr>
          <w:rFonts w:eastAsia="Times New Roman" w:cstheme="minorHAnsi"/>
          <w:color w:val="000000"/>
          <w:sz w:val="24"/>
          <w:szCs w:val="24"/>
        </w:rPr>
        <w:t>Where the registrant is unable to attend, and is not in a position to transfer his/her place to another person or to another event, then the following refund arrangements apply:</w:t>
      </w:r>
    </w:p>
    <w:p w:rsidR="001A33A0" w:rsidRPr="001A33A0" w:rsidRDefault="001A33A0" w:rsidP="001A33A0">
      <w:pPr>
        <w:pStyle w:val="ListParagraph"/>
        <w:numPr>
          <w:ilvl w:val="0"/>
          <w:numId w:val="1"/>
        </w:numPr>
        <w:spacing w:after="0" w:line="240" w:lineRule="auto"/>
        <w:jc w:val="both"/>
        <w:rPr>
          <w:rFonts w:eastAsia="Times New Roman" w:cstheme="minorHAnsi"/>
          <w:color w:val="000000"/>
          <w:sz w:val="24"/>
          <w:szCs w:val="24"/>
        </w:rPr>
      </w:pPr>
      <w:r w:rsidRPr="001A33A0">
        <w:rPr>
          <w:rFonts w:eastAsia="Times New Roman" w:cstheme="minorHAnsi"/>
          <w:color w:val="000000"/>
          <w:sz w:val="24"/>
          <w:szCs w:val="24"/>
        </w:rPr>
        <w:t>Registrations cancelled more than 60 days before the event are eligible for an 80% refund of the registration fees paid.</w:t>
      </w:r>
    </w:p>
    <w:p w:rsidR="001A33A0" w:rsidRPr="001A33A0" w:rsidRDefault="001A33A0" w:rsidP="001A33A0">
      <w:pPr>
        <w:pStyle w:val="ListParagraph"/>
        <w:numPr>
          <w:ilvl w:val="0"/>
          <w:numId w:val="1"/>
        </w:numPr>
        <w:spacing w:after="0" w:line="240" w:lineRule="auto"/>
        <w:jc w:val="both"/>
        <w:rPr>
          <w:rFonts w:eastAsia="Times New Roman" w:cstheme="minorHAnsi"/>
          <w:color w:val="000000"/>
          <w:sz w:val="24"/>
          <w:szCs w:val="24"/>
        </w:rPr>
      </w:pPr>
      <w:r w:rsidRPr="001A33A0">
        <w:rPr>
          <w:rFonts w:eastAsia="Times New Roman" w:cstheme="minorHAnsi"/>
          <w:color w:val="000000"/>
          <w:sz w:val="24"/>
          <w:szCs w:val="24"/>
        </w:rPr>
        <w:t>Registrations cancelled less than 60 days, but more than 30 days before the event are eligible for a 50% refund of the registration fees paid.</w:t>
      </w:r>
    </w:p>
    <w:p w:rsidR="001A33A0" w:rsidRPr="001A33A0" w:rsidRDefault="001A33A0" w:rsidP="001A33A0">
      <w:pPr>
        <w:pStyle w:val="ListParagraph"/>
        <w:numPr>
          <w:ilvl w:val="0"/>
          <w:numId w:val="1"/>
        </w:numPr>
        <w:spacing w:after="0" w:line="240" w:lineRule="auto"/>
        <w:jc w:val="both"/>
        <w:rPr>
          <w:rFonts w:eastAsia="Times New Roman" w:cstheme="minorHAnsi"/>
          <w:color w:val="000000"/>
          <w:sz w:val="24"/>
          <w:szCs w:val="24"/>
        </w:rPr>
      </w:pPr>
      <w:r w:rsidRPr="001A33A0">
        <w:rPr>
          <w:rFonts w:eastAsia="Times New Roman" w:cstheme="minorHAnsi"/>
          <w:color w:val="000000"/>
          <w:sz w:val="24"/>
          <w:szCs w:val="24"/>
        </w:rPr>
        <w:t>Registrations cancelled less than 30 days before the event are no longer eligible for a refund.</w:t>
      </w:r>
    </w:p>
    <w:p w:rsidR="001C1836" w:rsidRDefault="001C1836"/>
    <w:sectPr w:rsidR="001C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B1C8D"/>
    <w:multiLevelType w:val="hybridMultilevel"/>
    <w:tmpl w:val="5690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A0"/>
    <w:rsid w:val="001A33A0"/>
    <w:rsid w:val="001C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8EAB5-8410-4718-8CA8-5DF08D89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A0"/>
    <w:pPr>
      <w:ind w:left="720"/>
      <w:contextualSpacing/>
    </w:pPr>
  </w:style>
  <w:style w:type="table" w:styleId="TableGrid">
    <w:name w:val="Table Grid"/>
    <w:basedOn w:val="TableNormal"/>
    <w:uiPriority w:val="39"/>
    <w:rsid w:val="001A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Kibet</dc:creator>
  <cp:keywords/>
  <dc:description/>
  <cp:lastModifiedBy>Willy Kibet</cp:lastModifiedBy>
  <cp:revision>1</cp:revision>
  <dcterms:created xsi:type="dcterms:W3CDTF">2023-03-29T12:15:00Z</dcterms:created>
  <dcterms:modified xsi:type="dcterms:W3CDTF">2023-03-29T12:16:00Z</dcterms:modified>
</cp:coreProperties>
</file>