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F4E79"/>
          <w:sz w:val="52"/>
          <w:szCs w:val="52"/>
        </w:rPr>
        <w:t xml:space="preserve">STRUCTURAL HEALTH MONITORING</w:t>
      </w:r>
    </w:p>
    <w:p>
      <w:pPr>
        <w:spacing w:after="120" w:before="0"/>
        <w:jc w:val="center"/>
      </w:pPr>
      <w:r>
        <w:rPr>
          <w:rFonts w:ascii="Arial" w:cs="Arial" w:eastAsia="Arial" w:hAnsi="Arial"/>
          <w:b/>
          <w:bCs/>
          <w:color w:val="2E75B6"/>
          <w:sz w:val="36"/>
          <w:szCs w:val="36"/>
        </w:rPr>
        <w:t xml:space="preserve">Bridge Digital Twin — ML-Based Anomaly Detection</w:t>
      </w:r>
    </w:p>
    <w:p>
      <w:pPr>
        <w:spacing w:after="600" w:before="0"/>
        <w:jc w:val="center"/>
      </w:pPr>
      <w:r>
        <w:rPr>
          <w:rFonts w:ascii="Arial" w:cs="Arial" w:eastAsia="Arial" w:hAnsi="Arial"/>
          <w:color w:val="595959"/>
          <w:sz w:val="26"/>
          <w:szCs w:val="26"/>
        </w:rPr>
        <w:t xml:space="preserve">A Technical Project Report</w:t>
      </w:r>
    </w:p>
    <w:p>
      <w:pPr>
        <w:pBdr>
          <w:top w:val="single" w:color="1F4E79" w:sz="8" w:space="1"/>
        </w:pBdr>
        <w:spacing w:after="120" w:before="0"/>
        <w:jc w:val="center"/>
      </w:pPr>
      <w:r>
        <w:t xml:space="preserve"/>
      </w:r>
    </w:p>
    <w:p>
      <w:pPr>
        <w:spacing w:after="120" w:before="240"/>
        <w:jc w:val="center"/>
      </w:pPr>
      <w:r>
        <w:rPr>
          <w:rFonts w:ascii="Arial" w:cs="Arial" w:eastAsia="Arial" w:hAnsi="Arial"/>
          <w:b/>
          <w:bCs/>
          <w:color w:val="1F4E79"/>
          <w:sz w:val="24"/>
          <w:szCs w:val="24"/>
        </w:rPr>
        <w:t xml:space="preserve">Department of Civil Engineering</w:t>
      </w:r>
    </w:p>
    <w:p>
      <w:pPr>
        <w:spacing w:after="120" w:before="0"/>
        <w:jc w:val="center"/>
      </w:pPr>
      <w:r>
        <w:rPr>
          <w:rFonts w:ascii="Arial" w:cs="Arial" w:eastAsia="Arial" w:hAnsi="Arial"/>
          <w:color w:val="595959"/>
          <w:sz w:val="22"/>
          <w:szCs w:val="22"/>
        </w:rPr>
        <w:t xml:space="preserve">Academic Year: 2025–2026</w:t>
      </w:r>
    </w:p>
    <w:p>
      <w:pPr>
        <w:pBdr>
          <w:bottom w:val="single" w:color="1F4E79" w:sz="8" w:space="1"/>
        </w:pBdr>
        <w:spacing w:after="120" w:before="0"/>
        <w:jc w:val="center"/>
      </w:pPr>
      <w:r>
        <w:t xml:space="preserve"/>
      </w:r>
    </w:p>
    <w:p>
      <w:pPr>
        <w:spacing w:after="80" w:before="400"/>
        <w:jc w:val="center"/>
      </w:pPr>
      <w:r>
        <w:rPr>
          <w:rFonts w:ascii="Arial" w:cs="Arial" w:eastAsia="Arial" w:hAnsi="Arial"/>
          <w:b/>
          <w:bCs/>
          <w:color w:val="595959"/>
          <w:sz w:val="20"/>
          <w:szCs w:val="20"/>
        </w:rPr>
        <w:t xml:space="preserve">KEY STATISTICS</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20"/>
                <w:szCs w:val="20"/>
              </w:rPr>
              <w:t xml:space="preserve">Dataset Size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43,200 sensor readings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bCs/>
                <w:color w:val="000000"/>
                <w:sz w:val="20"/>
                <w:szCs w:val="20"/>
              </w:rPr>
              <w:t xml:space="preserve">Total Columns</w:t>
            </w:r>
          </w:p>
        </w:tc>
        <w:tc>
          <w:tcPr>
            <w:tcW w:type="dxa" w:w="3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54 (51 numeric)</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20"/>
                <w:szCs w:val="20"/>
              </w:rPr>
              <w:t xml:space="preserve">Selected Features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13 domain-selected</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bCs/>
                <w:color w:val="000000"/>
                <w:sz w:val="20"/>
                <w:szCs w:val="20"/>
              </w:rPr>
              <w:t xml:space="preserve">Time Period</w:t>
            </w:r>
          </w:p>
        </w:tc>
        <w:tc>
          <w:tcPr>
            <w:tcW w:type="dxa" w:w="3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January 2023 (minute-level)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20"/>
                <w:szCs w:val="20"/>
              </w:rPr>
              <w:t xml:space="preserve">ML Models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K-Means · Isolation Forest · Random Forest</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bCs/>
                <w:color w:val="000000"/>
                <w:sz w:val="20"/>
                <w:szCs w:val="20"/>
              </w:rPr>
              <w:t xml:space="preserve">Best ROC-AUC</w:t>
            </w:r>
          </w:p>
        </w:tc>
        <w:tc>
          <w:tcPr>
            <w:tcW w:type="dxa" w:w="3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0.897 (Random Forest)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20"/>
                <w:szCs w:val="20"/>
              </w:rPr>
              <w:t xml:space="preserve">Anomalies Detected (IF)</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2,160 (5.0%)</w:t>
            </w:r>
          </w:p>
        </w:tc>
      </w:tr>
    </w:tbl>
    <w:p>
      <w:r>
        <w:br w:type="page"/>
      </w:r>
    </w:p>
    <w:p>
      <w:pPr>
        <w:pStyle w:val="Heading1"/>
        <w:spacing w:after="180" w:before="360"/>
      </w:pPr>
      <w:r>
        <w:rPr>
          <w:rFonts w:ascii="Arial" w:cs="Arial" w:eastAsia="Arial" w:hAnsi="Arial"/>
          <w:b/>
          <w:bCs/>
          <w:color w:val="1F4E79"/>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80" w:before="360"/>
      </w:pPr>
      <w:r>
        <w:rPr>
          <w:rFonts w:ascii="Arial" w:cs="Arial" w:eastAsia="Arial" w:hAnsi="Arial"/>
          <w:b/>
          <w:bCs/>
          <w:color w:val="1F4E79"/>
          <w:sz w:val="32"/>
          <w:szCs w:val="32"/>
        </w:rPr>
        <w:t xml:space="preserve">1. Introduction</w:t>
      </w:r>
    </w:p>
    <w:p>
      <w:pPr>
        <w:pStyle w:val="Heading2"/>
        <w:spacing w:after="140" w:before="280"/>
      </w:pPr>
      <w:r>
        <w:rPr>
          <w:rFonts w:ascii="Arial" w:cs="Arial" w:eastAsia="Arial" w:hAnsi="Arial"/>
          <w:b/>
          <w:bCs/>
          <w:color w:val="2E75B6"/>
          <w:sz w:val="26"/>
          <w:szCs w:val="26"/>
        </w:rPr>
        <w:t xml:space="preserve">1.1 Background</w:t>
      </w:r>
    </w:p>
    <w:p>
      <w:pPr>
        <w:spacing w:after="100" w:before="80"/>
        <w:jc w:val="both"/>
      </w:pPr>
      <w:r>
        <w:rPr>
          <w:rFonts w:ascii="Arial" w:cs="Arial" w:eastAsia="Arial" w:hAnsi="Arial"/>
          <w:sz w:val="22"/>
          <w:szCs w:val="22"/>
        </w:rPr>
        <w:t xml:space="preserve">Infrastructure monitoring has become a critical aspect of civil engineering practice. Bridges, as key components of transportation networks, are subject to continuous structural degradation from traffic loading, environmental exposure, material fatigue, corrosion, and seismic events. Traditional inspection methods — periodic visual assessments and manual measurements — are costly, infrequent, and unable to detect gradual deterioration or sudden anomalies in real time.</w:t>
      </w:r>
    </w:p>
    <w:p>
      <w:pPr>
        <w:spacing w:after="100" w:before="80"/>
        <w:jc w:val="both"/>
      </w:pPr>
      <w:r>
        <w:rPr>
          <w:rFonts w:ascii="Arial" w:cs="Arial" w:eastAsia="Arial" w:hAnsi="Arial"/>
          <w:sz w:val="22"/>
          <w:szCs w:val="22"/>
        </w:rPr>
        <w:t xml:space="preserve">Structural Health Monitoring (SHM) addresses this limitation by deploying distributed sensor networks that continuously record structural response data. When combined with machine learning (ML) algorithms, SHM systems can detect anomalies automatically, classify structural states, predict failure probabilities, and generate maintenance alerts — transforming reactive maintenance into proactive structural management.</w:t>
      </w:r>
    </w:p>
    <w:p>
      <w:pPr>
        <w:pStyle w:val="Heading2"/>
        <w:spacing w:after="140" w:before="280"/>
      </w:pPr>
      <w:r>
        <w:rPr>
          <w:rFonts w:ascii="Arial" w:cs="Arial" w:eastAsia="Arial" w:hAnsi="Arial"/>
          <w:b/>
          <w:bCs/>
          <w:color w:val="2E75B6"/>
          <w:sz w:val="26"/>
          <w:szCs w:val="26"/>
        </w:rPr>
        <w:t xml:space="preserve">1.2 Project Objectives</w:t>
      </w:r>
    </w:p>
    <w:p>
      <w:pPr>
        <w:spacing w:after="100" w:before="80"/>
        <w:jc w:val="both"/>
      </w:pPr>
      <w:r>
        <w:rPr>
          <w:rFonts w:ascii="Arial" w:cs="Arial" w:eastAsia="Arial" w:hAnsi="Arial"/>
          <w:sz w:val="22"/>
          <w:szCs w:val="22"/>
        </w:rPr>
        <w:t xml:space="preserve">This project develops a complete ML-based SHM pipeline for a bridge digital twin, with the following objectives:</w:t>
      </w:r>
    </w:p>
    <w:p>
      <w:pPr>
        <w:pStyle w:val="ListParagraph"/>
        <w:numPr>
          <w:ilvl w:val="0"/>
          <w:numId w:val="2"/>
        </w:numPr>
        <w:spacing w:after="60" w:before="60"/>
      </w:pPr>
      <w:r>
        <w:rPr>
          <w:rFonts w:ascii="Arial" w:cs="Arial" w:eastAsia="Arial" w:hAnsi="Arial"/>
          <w:sz w:val="22"/>
          <w:szCs w:val="22"/>
        </w:rPr>
        <w:t xml:space="preserve">Explore a high-dimensional sensor dataset (54 columns, 43,200 readings) through comprehensive Exploratory Data Analysis (EDA).</w:t>
      </w:r>
    </w:p>
    <w:p>
      <w:pPr>
        <w:pStyle w:val="ListParagraph"/>
        <w:numPr>
          <w:ilvl w:val="0"/>
          <w:numId w:val="2"/>
        </w:numPr>
        <w:spacing w:after="60" w:before="60"/>
      </w:pPr>
      <w:r>
        <w:rPr>
          <w:rFonts w:ascii="Arial" w:cs="Arial" w:eastAsia="Arial" w:hAnsi="Arial"/>
          <w:sz w:val="22"/>
          <w:szCs w:val="22"/>
        </w:rPr>
        <w:t xml:space="preserve">Select 13 physically meaningful features based on civil engineering domain knowledge.</w:t>
      </w:r>
    </w:p>
    <w:p>
      <w:pPr>
        <w:pStyle w:val="ListParagraph"/>
        <w:numPr>
          <w:ilvl w:val="0"/>
          <w:numId w:val="2"/>
        </w:numPr>
        <w:spacing w:after="60" w:before="60"/>
      </w:pPr>
      <w:r>
        <w:rPr>
          <w:rFonts w:ascii="Arial" w:cs="Arial" w:eastAsia="Arial" w:hAnsi="Arial"/>
          <w:sz w:val="22"/>
          <w:szCs w:val="22"/>
        </w:rPr>
        <w:t xml:space="preserve">Apply unsupervised learning (K-Means clustering and Isolation Forest) to identify structural states and detect anomalies without labeled data.</w:t>
      </w:r>
    </w:p>
    <w:p>
      <w:pPr>
        <w:pStyle w:val="ListParagraph"/>
        <w:numPr>
          <w:ilvl w:val="0"/>
          <w:numId w:val="2"/>
        </w:numPr>
        <w:spacing w:after="60" w:before="60"/>
      </w:pPr>
      <w:r>
        <w:rPr>
          <w:rFonts w:ascii="Arial" w:cs="Arial" w:eastAsia="Arial" w:hAnsi="Arial"/>
          <w:sz w:val="22"/>
          <w:szCs w:val="22"/>
        </w:rPr>
        <w:t xml:space="preserve">Train a supervised Random Forest classifier to predict anomalies from raw sensor readings, using the dataset's Anomaly Detection Score as the training target.</w:t>
      </w:r>
    </w:p>
    <w:p>
      <w:pPr>
        <w:pStyle w:val="ListParagraph"/>
        <w:numPr>
          <w:ilvl w:val="0"/>
          <w:numId w:val="2"/>
        </w:numPr>
        <w:spacing w:after="60" w:before="60"/>
      </w:pPr>
      <w:r>
        <w:rPr>
          <w:rFonts w:ascii="Arial" w:cs="Arial" w:eastAsia="Arial" w:hAnsi="Arial"/>
          <w:sz w:val="22"/>
          <w:szCs w:val="22"/>
        </w:rPr>
        <w:t xml:space="preserve">Compare the outputs of all three models and synthesise them into a Maintenance Decision Engine with four alert levels (GREEN, YELLOW, ORANGE, RED).</w:t>
      </w:r>
    </w:p>
    <w:p>
      <w:pPr>
        <w:pStyle w:val="ListParagraph"/>
        <w:numPr>
          <w:ilvl w:val="0"/>
          <w:numId w:val="2"/>
        </w:numPr>
        <w:spacing w:after="60" w:before="60"/>
      </w:pPr>
      <w:r>
        <w:rPr>
          <w:rFonts w:ascii="Arial" w:cs="Arial" w:eastAsia="Arial" w:hAnsi="Arial"/>
          <w:sz w:val="22"/>
          <w:szCs w:val="22"/>
        </w:rPr>
        <w:t xml:space="preserve">Build an interactive real-time dashboard that visualises all model outputs in a control-room interface.</w:t>
      </w:r>
    </w:p>
    <w:p>
      <w:pPr>
        <w:pStyle w:val="Heading2"/>
        <w:spacing w:after="140" w:before="280"/>
      </w:pPr>
      <w:r>
        <w:rPr>
          <w:rFonts w:ascii="Arial" w:cs="Arial" w:eastAsia="Arial" w:hAnsi="Arial"/>
          <w:b/>
          <w:bCs/>
          <w:color w:val="2E75B6"/>
          <w:sz w:val="26"/>
          <w:szCs w:val="26"/>
        </w:rPr>
        <w:t xml:space="preserve">1.3 Scope and Limitations</w:t>
      </w:r>
    </w:p>
    <w:p>
      <w:pPr>
        <w:spacing w:after="100" w:before="80"/>
        <w:jc w:val="both"/>
      </w:pPr>
      <w:r>
        <w:rPr>
          <w:rFonts w:ascii="Arial" w:cs="Arial" w:eastAsia="Arial" w:hAnsi="Arial"/>
          <w:sz w:val="22"/>
          <w:szCs w:val="22"/>
        </w:rPr>
        <w:t xml:space="preserve">This project uses a simulated bridge digital twin dataset. All sensor readings are synthetically generated, which means performance metrics are not directly comparable to real-world deployment. The pipeline is designed to demonstrate the methodology; deployment on real sensor streams (e.g., from a physically instrumented bridge such as the Z24 benchmark) would require recalibration of model parameters and validation against independent structural assessments.</w:t>
      </w:r>
    </w:p>
    <w:p>
      <w:pPr>
        <w:spacing w:after="80" w:before="80"/>
      </w:pPr>
      <w:r>
        <w:t xml:space="preserve"/>
      </w:r>
    </w:p>
    <w:p>
      <w:r>
        <w:br w:type="page"/>
      </w:r>
    </w:p>
    <w:p>
      <w:pPr>
        <w:pStyle w:val="Heading1"/>
        <w:spacing w:after="180" w:before="360"/>
      </w:pPr>
      <w:r>
        <w:rPr>
          <w:rFonts w:ascii="Arial" w:cs="Arial" w:eastAsia="Arial" w:hAnsi="Arial"/>
          <w:b/>
          <w:bCs/>
          <w:color w:val="1F4E79"/>
          <w:sz w:val="32"/>
          <w:szCs w:val="32"/>
        </w:rPr>
        <w:t xml:space="preserve">2. Dataset Description</w:t>
      </w:r>
    </w:p>
    <w:p>
      <w:pPr>
        <w:pStyle w:val="Heading2"/>
        <w:spacing w:after="140" w:before="280"/>
      </w:pPr>
      <w:r>
        <w:rPr>
          <w:rFonts w:ascii="Arial" w:cs="Arial" w:eastAsia="Arial" w:hAnsi="Arial"/>
          <w:b/>
          <w:bCs/>
          <w:color w:val="2E75B6"/>
          <w:sz w:val="26"/>
          <w:szCs w:val="26"/>
        </w:rPr>
        <w:t xml:space="preserve">2.1 Overview</w:t>
      </w:r>
    </w:p>
    <w:p>
      <w:pPr>
        <w:spacing w:after="100" w:before="80"/>
        <w:jc w:val="both"/>
      </w:pPr>
      <w:r>
        <w:rPr>
          <w:rFonts w:ascii="Arial" w:cs="Arial" w:eastAsia="Arial" w:hAnsi="Arial"/>
          <w:sz w:val="22"/>
          <w:szCs w:val="22"/>
        </w:rPr>
        <w:t xml:space="preserve">The dataset represents a simulated bridge digital twin, recording sensor measurements at one-minute intervals throughout January 2023. It contains 43,200 rows and 54 columns — 51 numeric and 3 categorical (Timestamp, Bridge_Mood_Meter, Vibration_Anomaly_Location).</w:t>
      </w:r>
    </w:p>
    <w:p>
      <w:pPr>
        <w:pStyle w:val="Heading2"/>
        <w:spacing w:after="140" w:before="280"/>
      </w:pPr>
      <w:r>
        <w:rPr>
          <w:rFonts w:ascii="Arial" w:cs="Arial" w:eastAsia="Arial" w:hAnsi="Arial"/>
          <w:b/>
          <w:bCs/>
          <w:color w:val="2E75B6"/>
          <w:sz w:val="26"/>
          <w:szCs w:val="26"/>
        </w:rPr>
        <w:t xml:space="preserve">2.2 Column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560"/>
        <w:gridCol w:w="2300"/>
      </w:tblGrid>
      <w:tr>
        <w:trPr>
          <w:tblHeader/>
        </w:trPr>
        <w:tc>
          <w:tcPr>
            <w:tcW w:type="dxa" w:w="2500"/>
            <w:tcBorders>
              <w:top w:val="single" w:color="1F4E79" w:sz="2"/>
              <w:left w:val="single" w:color="1F4E79" w:sz="2"/>
              <w:bottom w:val="single" w:color="1F4E79" w:sz="2"/>
              <w:right w:val="single" w:color="1F4E79" w:sz="2"/>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Category</w:t>
            </w:r>
          </w:p>
        </w:tc>
        <w:tc>
          <w:tcPr>
            <w:tcW w:type="dxa" w:w="4560"/>
            <w:tcBorders>
              <w:top w:val="single" w:color="1F4E79" w:sz="2"/>
              <w:left w:val="single" w:color="1F4E79" w:sz="2"/>
              <w:bottom w:val="single" w:color="1F4E79" w:sz="2"/>
              <w:right w:val="single" w:color="1F4E79" w:sz="2"/>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Key Columns</w:t>
            </w:r>
          </w:p>
        </w:tc>
        <w:tc>
          <w:tcPr>
            <w:tcW w:type="dxa" w:w="2300"/>
            <w:tcBorders>
              <w:top w:val="single" w:color="1F4E79" w:sz="2"/>
              <w:left w:val="single" w:color="1F4E79" w:sz="2"/>
              <w:bottom w:val="single" w:color="1F4E79" w:sz="2"/>
              <w:right w:val="single" w:color="1F4E79" w:sz="2"/>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Count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Structural Response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Strain, Deflection, Tilt, Displacement, Crack, Cable Tension, Bearing Forces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7</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Material Deterioration</w:t>
            </w:r>
          </w:p>
        </w:tc>
        <w:tc>
          <w:tcPr>
            <w:tcW w:type="dxa" w:w="45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Corrosion Level, Fatigue Accumulation, Acoustic Emissions, Visual Defect Score</w:t>
            </w:r>
          </w:p>
        </w:tc>
        <w:tc>
          <w:tcPr>
            <w:tcW w:type="dxa" w:w="23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4</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Environmental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Temperature, Humidity, Wind Speed/Direction, Precipitation, Solar Radiation, Seismic Activity</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7</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Loading</w:t>
            </w:r>
          </w:p>
        </w:tc>
        <w:tc>
          <w:tcPr>
            <w:tcW w:type="dxa" w:w="45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Vehicle Load, Traffic Volume, Pedestrian Load, Impact Events, Axle Counts</w:t>
            </w:r>
          </w:p>
        </w:tc>
        <w:tc>
          <w:tcPr>
            <w:tcW w:type="dxa" w:w="23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5</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Health Indices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SHI, Anomaly Detection Score, SHI Predictions (24h, 7d, 30d), PoF, Maintenance Alert</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6</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Simulated Events</w:t>
            </w:r>
          </w:p>
        </w:tc>
        <w:tc>
          <w:tcPr>
            <w:tcW w:type="dxa" w:w="45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Flood Flag, Water Flow, Soil Saturation, Landslide, Wind Load, Traffic Surges, Stress Index</w:t>
            </w:r>
          </w:p>
        </w:tc>
        <w:tc>
          <w:tcPr>
            <w:tcW w:type="dxa" w:w="23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8</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Economic/Environmental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Repair Cost, Carbon Footprint, Energy Harvesting, Energy Dissipation</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4</w:t>
            </w:r>
          </w:p>
        </w:tc>
      </w:tr>
    </w:tbl>
    <w:p>
      <w:pPr>
        <w:spacing w:after="160" w:before="60"/>
        <w:jc w:val="center"/>
      </w:pPr>
      <w:r>
        <w:rPr>
          <w:rFonts w:ascii="Arial" w:cs="Arial" w:eastAsia="Arial" w:hAnsi="Arial"/>
          <w:color w:val="595959"/>
          <w:sz w:val="18"/>
          <w:szCs w:val="18"/>
        </w:rPr>
        <w:t xml:space="preserve">Table 1: Dataset column categories and counts.</w:t>
      </w:r>
    </w:p>
    <w:p>
      <w:pPr>
        <w:pStyle w:val="Heading2"/>
        <w:spacing w:after="140" w:before="280"/>
      </w:pPr>
      <w:r>
        <w:rPr>
          <w:rFonts w:ascii="Arial" w:cs="Arial" w:eastAsia="Arial" w:hAnsi="Arial"/>
          <w:b/>
          <w:bCs/>
          <w:color w:val="2E75B6"/>
          <w:sz w:val="26"/>
          <w:szCs w:val="26"/>
        </w:rPr>
        <w:t xml:space="preserve">2.3 Missing Values</w:t>
      </w:r>
    </w:p>
    <w:p>
      <w:pPr>
        <w:spacing w:after="100" w:before="80"/>
        <w:jc w:val="both"/>
      </w:pPr>
      <w:r>
        <w:rPr>
          <w:rFonts w:ascii="Arial" w:cs="Arial" w:eastAsia="Arial" w:hAnsi="Arial"/>
          <w:sz w:val="22"/>
          <w:szCs w:val="22"/>
        </w:rPr>
        <w:t xml:space="preserve">Approximately 4% of values are missing across most numeric columns (1,640–1,821 missing per column). The exception is Vibration_Anomaly_Location, which is missing in 79% of rows — reflecting that vibration anomaly locations are only recorded during anomaly events. Missing values were handled using forward fill (ffill) followed by backward fill (bfill), which is significantly more appropriate than mean imputation for time-series sensor data, as it preserves the temporal continuity of readings.</w:t>
      </w:r>
    </w:p>
    <w:p>
      <w:pPr>
        <w:pStyle w:val="Heading2"/>
        <w:spacing w:after="140" w:before="280"/>
      </w:pPr>
      <w:r>
        <w:rPr>
          <w:rFonts w:ascii="Arial" w:cs="Arial" w:eastAsia="Arial" w:hAnsi="Arial"/>
          <w:b/>
          <w:bCs/>
          <w:color w:val="2E75B6"/>
          <w:sz w:val="26"/>
          <w:szCs w:val="26"/>
        </w:rPr>
        <w:t xml:space="preserve">2.4 Key Statistical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40"/>
        <w:gridCol w:w="1640"/>
        <w:gridCol w:w="1640"/>
        <w:gridCol w:w="1640"/>
      </w:tblGrid>
      <w:tr>
        <w:trPr>
          <w:tblHeader/>
        </w:trPr>
        <w:tc>
          <w:tcPr>
            <w:tcW w:type="dxa" w:w="2800"/>
            <w:tcBorders>
              <w:top w:val="single" w:color="1F4E79" w:sz="2"/>
              <w:left w:val="single" w:color="1F4E79" w:sz="2"/>
              <w:bottom w:val="single" w:color="1F4E79" w:sz="2"/>
              <w:right w:val="single" w:color="1F4E79" w:sz="2"/>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Feature</w:t>
            </w:r>
          </w:p>
        </w:tc>
        <w:tc>
          <w:tcPr>
            <w:tcW w:type="dxa" w:w="1640"/>
            <w:tcBorders>
              <w:top w:val="single" w:color="1F4E79" w:sz="2"/>
              <w:left w:val="single" w:color="1F4E79" w:sz="2"/>
              <w:bottom w:val="single" w:color="1F4E79" w:sz="2"/>
              <w:right w:val="single" w:color="1F4E79" w:sz="2"/>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Min</w:t>
            </w:r>
          </w:p>
        </w:tc>
        <w:tc>
          <w:tcPr>
            <w:tcW w:type="dxa" w:w="1640"/>
            <w:tcBorders>
              <w:top w:val="single" w:color="1F4E79" w:sz="2"/>
              <w:left w:val="single" w:color="1F4E79" w:sz="2"/>
              <w:bottom w:val="single" w:color="1F4E79" w:sz="2"/>
              <w:right w:val="single" w:color="1F4E79" w:sz="2"/>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Mean</w:t>
            </w:r>
          </w:p>
        </w:tc>
        <w:tc>
          <w:tcPr>
            <w:tcW w:type="dxa" w:w="1640"/>
            <w:tcBorders>
              <w:top w:val="single" w:color="1F4E79" w:sz="2"/>
              <w:left w:val="single" w:color="1F4E79" w:sz="2"/>
              <w:bottom w:val="single" w:color="1F4E79" w:sz="2"/>
              <w:right w:val="single" w:color="1F4E79" w:sz="2"/>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Max</w:t>
            </w:r>
          </w:p>
        </w:tc>
        <w:tc>
          <w:tcPr>
            <w:tcW w:type="dxa" w:w="1640"/>
            <w:tcBorders>
              <w:top w:val="single" w:color="1F4E79" w:sz="2"/>
              <w:left w:val="single" w:color="1F4E79" w:sz="2"/>
              <w:bottom w:val="single" w:color="1F4E79" w:sz="2"/>
              <w:right w:val="single" w:color="1F4E79" w:sz="2"/>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Std Dev</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Strain (μɛ)</w:t>
            </w:r>
          </w:p>
        </w:tc>
        <w:tc>
          <w:tcPr>
            <w:tcW w:type="dxa" w:w="16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363.5</w:t>
            </w:r>
          </w:p>
        </w:tc>
        <w:tc>
          <w:tcPr>
            <w:tcW w:type="dxa" w:w="16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851.9</w:t>
            </w:r>
          </w:p>
        </w:tc>
        <w:tc>
          <w:tcPr>
            <w:tcW w:type="dxa" w:w="16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4,074.9</w:t>
            </w:r>
          </w:p>
        </w:tc>
        <w:tc>
          <w:tcPr>
            <w:tcW w:type="dxa" w:w="16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351.9</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Deflection (mm)</w:t>
            </w:r>
          </w:p>
        </w:tc>
        <w:tc>
          <w:tcPr>
            <w:tcW w:type="dxa" w:w="164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6.9</w:t>
            </w:r>
          </w:p>
        </w:tc>
        <w:tc>
          <w:tcPr>
            <w:tcW w:type="dxa" w:w="164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15.1</w:t>
            </w:r>
          </w:p>
        </w:tc>
        <w:tc>
          <w:tcPr>
            <w:tcW w:type="dxa" w:w="164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30.4</w:t>
            </w:r>
          </w:p>
        </w:tc>
        <w:tc>
          <w:tcPr>
            <w:tcW w:type="dxa" w:w="164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3.8</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Vibration (m/s²)</w:t>
            </w:r>
          </w:p>
        </w:tc>
        <w:tc>
          <w:tcPr>
            <w:tcW w:type="dxa" w:w="16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0.64</w:t>
            </w:r>
          </w:p>
        </w:tc>
        <w:tc>
          <w:tcPr>
            <w:tcW w:type="dxa" w:w="16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1.34</w:t>
            </w:r>
          </w:p>
        </w:tc>
        <w:tc>
          <w:tcPr>
            <w:tcW w:type="dxa" w:w="16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15.1</w:t>
            </w:r>
          </w:p>
        </w:tc>
        <w:tc>
          <w:tcPr>
            <w:tcW w:type="dxa" w:w="16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0.98</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Cable Tension (kN)</w:t>
            </w:r>
          </w:p>
        </w:tc>
        <w:tc>
          <w:tcPr>
            <w:tcW w:type="dxa" w:w="164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334.0</w:t>
            </w:r>
          </w:p>
        </w:tc>
        <w:tc>
          <w:tcPr>
            <w:tcW w:type="dxa" w:w="164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476.1</w:t>
            </w:r>
          </w:p>
        </w:tc>
        <w:tc>
          <w:tcPr>
            <w:tcW w:type="dxa" w:w="164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844.9</w:t>
            </w:r>
          </w:p>
        </w:tc>
        <w:tc>
          <w:tcPr>
            <w:tcW w:type="dxa" w:w="164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91.8</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Vehicle Load (tons)</w:t>
            </w:r>
          </w:p>
        </w:tc>
        <w:tc>
          <w:tcPr>
            <w:tcW w:type="dxa" w:w="16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0</w:t>
            </w:r>
          </w:p>
        </w:tc>
        <w:tc>
          <w:tcPr>
            <w:tcW w:type="dxa" w:w="16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18.5</w:t>
            </w:r>
          </w:p>
        </w:tc>
        <w:tc>
          <w:tcPr>
            <w:tcW w:type="dxa" w:w="16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48.4</w:t>
            </w:r>
          </w:p>
        </w:tc>
        <w:tc>
          <w:tcPr>
            <w:tcW w:type="dxa" w:w="16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11.2</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Tilt (degrees)</w:t>
            </w:r>
          </w:p>
        </w:tc>
        <w:tc>
          <w:tcPr>
            <w:tcW w:type="dxa" w:w="164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0.476</w:t>
            </w:r>
          </w:p>
        </w:tc>
        <w:tc>
          <w:tcPr>
            <w:tcW w:type="dxa" w:w="164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0.756</w:t>
            </w:r>
          </w:p>
        </w:tc>
        <w:tc>
          <w:tcPr>
            <w:tcW w:type="dxa" w:w="164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1.523</w:t>
            </w:r>
          </w:p>
        </w:tc>
        <w:tc>
          <w:tcPr>
            <w:tcW w:type="dxa" w:w="164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0.142</w:t>
            </w:r>
          </w:p>
        </w:tc>
      </w:tr>
    </w:tbl>
    <w:p>
      <w:pPr>
        <w:spacing w:after="160" w:before="60"/>
        <w:jc w:val="center"/>
      </w:pPr>
      <w:r>
        <w:rPr>
          <w:rFonts w:ascii="Arial" w:cs="Arial" w:eastAsia="Arial" w:hAnsi="Arial"/>
          <w:color w:val="595959"/>
          <w:sz w:val="18"/>
          <w:szCs w:val="18"/>
        </w:rPr>
        <w:t xml:space="preserve">Table 2: Statistical summary of key selected features.</w:t>
      </w:r>
    </w:p>
    <w:p>
      <w:pPr>
        <w:spacing w:after="80" w:before="80"/>
      </w:pPr>
      <w:r>
        <w:t xml:space="preserve"/>
      </w:r>
    </w:p>
    <w:p>
      <w:r>
        <w:br w:type="page"/>
      </w:r>
    </w:p>
    <w:p>
      <w:pPr>
        <w:pStyle w:val="Heading1"/>
        <w:spacing w:after="180" w:before="360"/>
      </w:pPr>
      <w:r>
        <w:rPr>
          <w:rFonts w:ascii="Arial" w:cs="Arial" w:eastAsia="Arial" w:hAnsi="Arial"/>
          <w:b/>
          <w:bCs/>
          <w:color w:val="1F4E79"/>
          <w:sz w:val="32"/>
          <w:szCs w:val="32"/>
        </w:rPr>
        <w:t xml:space="preserve">3. Feature Selection</w:t>
      </w:r>
    </w:p>
    <w:p>
      <w:pPr>
        <w:pStyle w:val="Heading2"/>
        <w:spacing w:after="140" w:before="280"/>
      </w:pPr>
      <w:r>
        <w:rPr>
          <w:rFonts w:ascii="Arial" w:cs="Arial" w:eastAsia="Arial" w:hAnsi="Arial"/>
          <w:b/>
          <w:bCs/>
          <w:color w:val="2E75B6"/>
          <w:sz w:val="26"/>
          <w:szCs w:val="26"/>
        </w:rPr>
        <w:t xml:space="preserve">3.1 Approach</w:t>
      </w:r>
    </w:p>
    <w:p>
      <w:pPr>
        <w:spacing w:after="100" w:before="80"/>
        <w:jc w:val="both"/>
      </w:pPr>
      <w:r>
        <w:rPr>
          <w:rFonts w:ascii="Arial" w:cs="Arial" w:eastAsia="Arial" w:hAnsi="Arial"/>
          <w:sz w:val="22"/>
          <w:szCs w:val="22"/>
        </w:rPr>
        <w:t xml:space="preserve">Rather than using an automated feature selection algorithm, features were selected based on civil engineering domain expertise. This approach ensures that the 13 chosen features are physically interpretable, structurally meaningful, and defensible in an engineering context. Columns derived from the sensor readings (SHI, Anomaly Detection Score, SHI predictions, PoF, Maintenance Alert) were deliberately excluded to avoid circular learning — i.e., training the model to predict a score that was itself computed from the same input features.</w:t>
      </w:r>
    </w:p>
    <w:p>
      <w:pPr>
        <w:pStyle w:val="Heading2"/>
        <w:spacing w:after="140" w:before="280"/>
      </w:pPr>
      <w:r>
        <w:rPr>
          <w:rFonts w:ascii="Arial" w:cs="Arial" w:eastAsia="Arial" w:hAnsi="Arial"/>
          <w:b/>
          <w:bCs/>
          <w:color w:val="2E75B6"/>
          <w:sz w:val="26"/>
          <w:szCs w:val="26"/>
        </w:rPr>
        <w:t xml:space="preserve">3.2 Selected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160"/>
        <w:gridCol w:w="2200"/>
        <w:gridCol w:w="2000"/>
      </w:tblGrid>
      <w:tr>
        <w:trPr>
          <w:tblHeader/>
        </w:trPr>
        <w:tc>
          <w:tcPr>
            <w:tcW w:type="dxa" w:w="2000"/>
            <w:tcBorders>
              <w:top w:val="single" w:color="1F4E79" w:sz="2"/>
              <w:left w:val="single" w:color="1F4E79" w:sz="2"/>
              <w:bottom w:val="single" w:color="1F4E79" w:sz="2"/>
              <w:right w:val="single" w:color="1F4E79" w:sz="2"/>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Feature</w:t>
            </w:r>
          </w:p>
        </w:tc>
        <w:tc>
          <w:tcPr>
            <w:tcW w:type="dxa" w:w="3160"/>
            <w:tcBorders>
              <w:top w:val="single" w:color="1F4E79" w:sz="2"/>
              <w:left w:val="single" w:color="1F4E79" w:sz="2"/>
              <w:bottom w:val="single" w:color="1F4E79" w:sz="2"/>
              <w:right w:val="single" w:color="1F4E79" w:sz="2"/>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Physical Meaning</w:t>
            </w:r>
          </w:p>
        </w:tc>
        <w:tc>
          <w:tcPr>
            <w:tcW w:type="dxa" w:w="2200"/>
            <w:tcBorders>
              <w:top w:val="single" w:color="1F4E79" w:sz="2"/>
              <w:left w:val="single" w:color="1F4E79" w:sz="2"/>
              <w:bottom w:val="single" w:color="1F4E79" w:sz="2"/>
              <w:right w:val="single" w:color="1F4E79" w:sz="2"/>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Category</w:t>
            </w:r>
          </w:p>
        </w:tc>
        <w:tc>
          <w:tcPr>
            <w:tcW w:type="dxa" w:w="2000"/>
            <w:tcBorders>
              <w:top w:val="single" w:color="1F4E79" w:sz="2"/>
              <w:left w:val="single" w:color="1F4E79" w:sz="2"/>
              <w:bottom w:val="single" w:color="1F4E79" w:sz="2"/>
              <w:right w:val="single" w:color="1F4E79" w:sz="2"/>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Units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Strain_microstrain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Core structural stress in deck/girders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Structural Response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μɛ</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Deflection_mm</w:t>
            </w:r>
          </w:p>
        </w:tc>
        <w:tc>
          <w:tcPr>
            <w:tcW w:type="dxa" w:w="31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Vertical deformation of bridge deck</w:t>
            </w:r>
          </w:p>
        </w:tc>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Structural Response</w:t>
            </w:r>
          </w:p>
        </w:tc>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mm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Tilt_deg</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Structural inclination of towers/piers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Structural Response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degrees</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Displacement_mm</w:t>
            </w:r>
          </w:p>
        </w:tc>
        <w:tc>
          <w:tcPr>
            <w:tcW w:type="dxa" w:w="31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Absolute lateral/vertical movement</w:t>
            </w:r>
          </w:p>
        </w:tc>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Structural Response</w:t>
            </w:r>
          </w:p>
        </w:tc>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mm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Crack_Propagation_mm</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Rate of crack growth in concrete/steel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Structural Response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mm</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Cable_Member_Tension_kN</w:t>
            </w:r>
          </w:p>
        </w:tc>
        <w:tc>
          <w:tcPr>
            <w:tcW w:type="dxa" w:w="31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Load in primary load-bearing cables</w:t>
            </w:r>
          </w:p>
        </w:tc>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Structural Response</w:t>
            </w:r>
          </w:p>
        </w:tc>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kN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Corrosion_Level_percent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Material loss from electrochemical degradation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Deterioration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Vehicle_Load_tons</w:t>
            </w:r>
          </w:p>
        </w:tc>
        <w:tc>
          <w:tcPr>
            <w:tcW w:type="dxa" w:w="31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Primary live load from vehicles</w:t>
            </w:r>
          </w:p>
        </w:tc>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Loading</w:t>
            </w:r>
          </w:p>
        </w:tc>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tons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Traffic_Volume_vph</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Load frequency (vehicles per hour)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Loading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vph</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Vibration_ms2</w:t>
            </w:r>
          </w:p>
        </w:tc>
        <w:tc>
          <w:tcPr>
            <w:tcW w:type="dxa" w:w="31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Dynamic structural response to loads/wind</w:t>
            </w:r>
          </w:p>
        </w:tc>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Environmental</w:t>
            </w:r>
          </w:p>
        </w:tc>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m/s²</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Wind_Speed_ms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Wind-induced forcing on deck and towers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Environmental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m/s</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Seismic_Activity_ms2</w:t>
            </w:r>
          </w:p>
        </w:tc>
        <w:tc>
          <w:tcPr>
            <w:tcW w:type="dxa" w:w="31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Ground acceleration from seismic events</w:t>
            </w:r>
          </w:p>
        </w:tc>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Environmental</w:t>
            </w:r>
          </w:p>
        </w:tc>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m/s²</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Soil_Settlement_mm</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Foundation movement / ground subsidence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Foundation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mm</w:t>
            </w:r>
          </w:p>
        </w:tc>
      </w:tr>
    </w:tbl>
    <w:p>
      <w:pPr>
        <w:spacing w:after="160" w:before="60"/>
        <w:jc w:val="center"/>
      </w:pPr>
      <w:r>
        <w:rPr>
          <w:rFonts w:ascii="Arial" w:cs="Arial" w:eastAsia="Arial" w:hAnsi="Arial"/>
          <w:color w:val="595959"/>
          <w:sz w:val="18"/>
          <w:szCs w:val="18"/>
        </w:rPr>
        <w:t xml:space="preserve">Table 3: 13 domain-selected features with physical interpretation.</w:t>
      </w:r>
    </w:p>
    <w:p>
      <w:pPr>
        <w:pStyle w:val="Heading2"/>
        <w:spacing w:after="140" w:before="280"/>
      </w:pPr>
      <w:r>
        <w:rPr>
          <w:rFonts w:ascii="Arial" w:cs="Arial" w:eastAsia="Arial" w:hAnsi="Arial"/>
          <w:b/>
          <w:bCs/>
          <w:color w:val="2E75B6"/>
          <w:sz w:val="26"/>
          <w:szCs w:val="26"/>
        </w:rPr>
        <w:t xml:space="preserve">3.3 Correlation Analysis</w:t>
      </w:r>
    </w:p>
    <w:p>
      <w:pPr>
        <w:spacing w:after="100" w:before="80"/>
        <w:jc w:val="both"/>
      </w:pPr>
      <w:r>
        <w:rPr>
          <w:rFonts w:ascii="Arial" w:cs="Arial" w:eastAsia="Arial" w:hAnsi="Arial"/>
          <w:sz w:val="22"/>
          <w:szCs w:val="22"/>
        </w:rPr>
        <w:t xml:space="preserve">The correlation heatmap of the 13 selected features revealed several strong and physically meaningful relationships:</w:t>
      </w:r>
    </w:p>
    <w:p>
      <w:pPr>
        <w:pStyle w:val="ListParagraph"/>
        <w:numPr>
          <w:ilvl w:val="0"/>
          <w:numId w:val="2"/>
        </w:numPr>
        <w:spacing w:after="60" w:before="60"/>
      </w:pPr>
      <w:r>
        <w:rPr>
          <w:rFonts w:ascii="Arial" w:cs="Arial" w:eastAsia="Arial" w:hAnsi="Arial"/>
          <w:sz w:val="22"/>
          <w:szCs w:val="22"/>
        </w:rPr>
        <w:t xml:space="preserve">Strain, Tilt, Displacement, Cable Tension, Vehicle Load, and Traffic Volume form a highly intercorrelated group (r = 0.83–0.98), reflecting that all are driven by the same underlying live load on the bridge.</w:t>
      </w:r>
    </w:p>
    <w:p>
      <w:pPr>
        <w:pStyle w:val="ListParagraph"/>
        <w:numPr>
          <w:ilvl w:val="0"/>
          <w:numId w:val="2"/>
        </w:numPr>
        <w:spacing w:after="60" w:before="60"/>
      </w:pPr>
      <w:r>
        <w:rPr>
          <w:rFonts w:ascii="Arial" w:cs="Arial" w:eastAsia="Arial" w:hAnsi="Arial"/>
          <w:sz w:val="22"/>
          <w:szCs w:val="22"/>
        </w:rPr>
        <w:t xml:space="preserve">Crack Propagation and Corrosion Level are strongly correlated (r = 0.93), consistent with the physical link between material degradation processes.</w:t>
      </w:r>
    </w:p>
    <w:p>
      <w:pPr>
        <w:pStyle w:val="ListParagraph"/>
        <w:numPr>
          <w:ilvl w:val="0"/>
          <w:numId w:val="2"/>
        </w:numPr>
        <w:spacing w:after="60" w:before="60"/>
      </w:pPr>
      <w:r>
        <w:rPr>
          <w:rFonts w:ascii="Arial" w:cs="Arial" w:eastAsia="Arial" w:hAnsi="Arial"/>
          <w:sz w:val="22"/>
          <w:szCs w:val="22"/>
        </w:rPr>
        <w:t xml:space="preserve">Wind Speed shows low correlation with structural response features (r = −0.04 to 0.04), confirming its independence as an environmental forcing variable.</w:t>
      </w:r>
    </w:p>
    <w:p>
      <w:pPr>
        <w:pStyle w:val="ListParagraph"/>
        <w:numPr>
          <w:ilvl w:val="0"/>
          <w:numId w:val="2"/>
        </w:numPr>
        <w:spacing w:after="60" w:before="60"/>
      </w:pPr>
      <w:r>
        <w:rPr>
          <w:rFonts w:ascii="Arial" w:cs="Arial" w:eastAsia="Arial" w:hAnsi="Arial"/>
          <w:sz w:val="22"/>
          <w:szCs w:val="22"/>
        </w:rPr>
        <w:t xml:space="preserve">Seismic Activity and Soil Settlement are moderately correlated (r = 0.36), reflecting geological coupling.</w:t>
      </w:r>
    </w:p>
    <w:p>
      <w:pPr>
        <w:spacing w:after="80" w:before="80"/>
      </w:pPr>
      <w:r>
        <w:t xml:space="preserve"/>
      </w:r>
    </w:p>
    <w:p>
      <w:r>
        <w:br w:type="page"/>
      </w:r>
    </w:p>
    <w:p>
      <w:pPr>
        <w:pStyle w:val="Heading1"/>
        <w:spacing w:after="180" w:before="360"/>
      </w:pPr>
      <w:r>
        <w:rPr>
          <w:rFonts w:ascii="Arial" w:cs="Arial" w:eastAsia="Arial" w:hAnsi="Arial"/>
          <w:b/>
          <w:bCs/>
          <w:color w:val="1F4E79"/>
          <w:sz w:val="32"/>
          <w:szCs w:val="32"/>
        </w:rPr>
        <w:t xml:space="preserve">4. Methodology</w:t>
      </w:r>
    </w:p>
    <w:p>
      <w:pPr>
        <w:pStyle w:val="Heading2"/>
        <w:spacing w:after="140" w:before="280"/>
      </w:pPr>
      <w:r>
        <w:rPr>
          <w:rFonts w:ascii="Arial" w:cs="Arial" w:eastAsia="Arial" w:hAnsi="Arial"/>
          <w:b/>
          <w:bCs/>
          <w:color w:val="2E75B6"/>
          <w:sz w:val="26"/>
          <w:szCs w:val="26"/>
        </w:rPr>
        <w:t xml:space="preserve">4.1 Pipeline Overview</w:t>
      </w:r>
    </w:p>
    <w:p>
      <w:pPr>
        <w:spacing w:after="100" w:before="80"/>
        <w:jc w:val="both"/>
      </w:pPr>
      <w:r>
        <w:rPr>
          <w:rFonts w:ascii="Arial" w:cs="Arial" w:eastAsia="Arial" w:hAnsi="Arial"/>
          <w:sz w:val="22"/>
          <w:szCs w:val="22"/>
        </w:rPr>
        <w:t xml:space="preserve">The ML pipeline follows a five-stage architecture, progressing from data preparation through to a practical maintenance decision output:</w:t>
      </w:r>
    </w:p>
    <w:p>
      <w:pPr>
        <w:pStyle w:val="ListParagraph"/>
        <w:numPr>
          <w:ilvl w:val="0"/>
          <w:numId w:val="3"/>
        </w:numPr>
        <w:spacing w:after="60" w:before="60"/>
      </w:pPr>
      <w:r>
        <w:rPr>
          <w:rFonts w:ascii="Arial" w:cs="Arial" w:eastAsia="Arial" w:hAnsi="Arial"/>
          <w:sz w:val="22"/>
          <w:szCs w:val="22"/>
        </w:rPr>
        <w:t xml:space="preserve">Data Preprocessing: time-series-aware imputation (ffill/bfill) and StandardScaler normalisation.</w:t>
      </w:r>
    </w:p>
    <w:p>
      <w:pPr>
        <w:pStyle w:val="ListParagraph"/>
        <w:numPr>
          <w:ilvl w:val="0"/>
          <w:numId w:val="3"/>
        </w:numPr>
        <w:spacing w:after="60" w:before="60"/>
      </w:pPr>
      <w:r>
        <w:rPr>
          <w:rFonts w:ascii="Arial" w:cs="Arial" w:eastAsia="Arial" w:hAnsi="Arial"/>
          <w:sz w:val="22"/>
          <w:szCs w:val="22"/>
        </w:rPr>
        <w:t xml:space="preserve">K-Means Clustering (Unsupervised): segmentation of structural states into three behavioural clusters.</w:t>
      </w:r>
    </w:p>
    <w:p>
      <w:pPr>
        <w:pStyle w:val="ListParagraph"/>
        <w:numPr>
          <w:ilvl w:val="0"/>
          <w:numId w:val="3"/>
        </w:numPr>
        <w:spacing w:after="60" w:before="60"/>
      </w:pPr>
      <w:r>
        <w:rPr>
          <w:rFonts w:ascii="Arial" w:cs="Arial" w:eastAsia="Arial" w:hAnsi="Arial"/>
          <w:sz w:val="22"/>
          <w:szCs w:val="22"/>
        </w:rPr>
        <w:t xml:space="preserve">Isolation Forest (Unsupervised): anomaly detection based on feature space isolation without labeled data.</w:t>
      </w:r>
    </w:p>
    <w:p>
      <w:pPr>
        <w:pStyle w:val="ListParagraph"/>
        <w:numPr>
          <w:ilvl w:val="0"/>
          <w:numId w:val="3"/>
        </w:numPr>
        <w:spacing w:after="60" w:before="60"/>
      </w:pPr>
      <w:r>
        <w:rPr>
          <w:rFonts w:ascii="Arial" w:cs="Arial" w:eastAsia="Arial" w:hAnsi="Arial"/>
          <w:sz w:val="22"/>
          <w:szCs w:val="22"/>
        </w:rPr>
        <w:t xml:space="preserve">Random Forest Classifier (Supervised): prediction of anomaly events from raw sensor readings.</w:t>
      </w:r>
    </w:p>
    <w:p>
      <w:pPr>
        <w:pStyle w:val="ListParagraph"/>
        <w:numPr>
          <w:ilvl w:val="0"/>
          <w:numId w:val="3"/>
        </w:numPr>
        <w:spacing w:after="60" w:before="60"/>
      </w:pPr>
      <w:r>
        <w:rPr>
          <w:rFonts w:ascii="Arial" w:cs="Arial" w:eastAsia="Arial" w:hAnsi="Arial"/>
          <w:sz w:val="22"/>
          <w:szCs w:val="22"/>
        </w:rPr>
        <w:t xml:space="preserve">Maintenance Decision Engine: synthesis of all model outputs into a single actionable alert level.</w:t>
      </w:r>
    </w:p>
    <w:p>
      <w:pPr>
        <w:pStyle w:val="Heading2"/>
        <w:spacing w:after="140" w:before="280"/>
      </w:pPr>
      <w:r>
        <w:rPr>
          <w:rFonts w:ascii="Arial" w:cs="Arial" w:eastAsia="Arial" w:hAnsi="Arial"/>
          <w:b/>
          <w:bCs/>
          <w:color w:val="2E75B6"/>
          <w:sz w:val="26"/>
          <w:szCs w:val="26"/>
        </w:rPr>
        <w:t xml:space="preserve">4.2 Data Preprocessing</w:t>
      </w:r>
    </w:p>
    <w:p>
      <w:pPr>
        <w:pStyle w:val="Heading3"/>
        <w:spacing w:after="100" w:before="200"/>
      </w:pPr>
      <w:r>
        <w:rPr>
          <w:rFonts w:ascii="Arial" w:cs="Arial" w:eastAsia="Arial" w:hAnsi="Arial"/>
          <w:b/>
          <w:bCs/>
          <w:color w:val="2E75B6"/>
          <w:sz w:val="22"/>
          <w:szCs w:val="22"/>
        </w:rPr>
        <w:t xml:space="preserve">4.2.1 Missing Value Imputation</w:t>
      </w:r>
    </w:p>
    <w:p>
      <w:pPr>
        <w:spacing w:after="100" w:before="80"/>
        <w:jc w:val="both"/>
      </w:pPr>
      <w:r>
        <w:rPr>
          <w:rFonts w:ascii="Arial" w:cs="Arial" w:eastAsia="Arial" w:hAnsi="Arial"/>
          <w:sz w:val="22"/>
          <w:szCs w:val="22"/>
        </w:rPr>
        <w:t xml:space="preserve">Forward fill (ffill) followed by backward fill (bfill) was used in place of mean imputation. For time-series sensor data, the previous valid reading is the most physically accurate estimate for a missing value, as sensor readings are highly autocorrelated at one-minute intervals. Mean imputation would inject a seasonal average into potentially critical moments, masking true structural behaviour.</w:t>
      </w:r>
    </w:p>
    <w:p>
      <w:pPr>
        <w:pStyle w:val="Heading3"/>
        <w:spacing w:after="100" w:before="200"/>
      </w:pPr>
      <w:r>
        <w:rPr>
          <w:rFonts w:ascii="Arial" w:cs="Arial" w:eastAsia="Arial" w:hAnsi="Arial"/>
          <w:b/>
          <w:bCs/>
          <w:color w:val="2E75B6"/>
          <w:sz w:val="22"/>
          <w:szCs w:val="22"/>
        </w:rPr>
        <w:t xml:space="preserve">4.2.2 Feature Scaling</w:t>
      </w:r>
    </w:p>
    <w:p>
      <w:pPr>
        <w:spacing w:after="100" w:before="80"/>
        <w:jc w:val="both"/>
      </w:pPr>
      <w:r>
        <w:rPr>
          <w:rFonts w:ascii="Arial" w:cs="Arial" w:eastAsia="Arial" w:hAnsi="Arial"/>
          <w:sz w:val="22"/>
          <w:szCs w:val="22"/>
        </w:rPr>
        <w:t xml:space="preserve">StandardScaler was applied to normalise all 13 features to zero mean and unit variance. This is essential for distance-based algorithms (K-Means, Isolation Forest) which are sensitive to feature magnitude. The scaled data was preserved as a pandas DataFrame (rather than a numpy array) to maintain index integrity for the train/test split.</w:t>
      </w:r>
    </w:p>
    <w:p>
      <w:pPr>
        <w:pStyle w:val="Heading2"/>
        <w:spacing w:after="140" w:before="280"/>
      </w:pPr>
      <w:r>
        <w:rPr>
          <w:rFonts w:ascii="Arial" w:cs="Arial" w:eastAsia="Arial" w:hAnsi="Arial"/>
          <w:b/>
          <w:bCs/>
          <w:color w:val="2E75B6"/>
          <w:sz w:val="26"/>
          <w:szCs w:val="26"/>
        </w:rPr>
        <w:t xml:space="preserve">4.3 K-Means Clustering</w:t>
      </w:r>
    </w:p>
    <w:p>
      <w:pPr>
        <w:spacing w:after="100" w:before="80"/>
        <w:jc w:val="both"/>
      </w:pPr>
      <w:r>
        <w:rPr>
          <w:rFonts w:ascii="Arial" w:cs="Arial" w:eastAsia="Arial" w:hAnsi="Arial"/>
          <w:sz w:val="22"/>
          <w:szCs w:val="22"/>
        </w:rPr>
        <w:t xml:space="preserve">K-Means was applied with k=3 clusters, selected via the Elbow Method. Three clusters align naturally with civil engineering structural states: Healthy, Moderate Stress, and Critical. The optimal k was identified at the point of diminishing inertia reduction around k=3 in the elbow curve.</w:t>
      </w:r>
    </w:p>
    <w:p>
      <w:pPr>
        <w:spacing w:after="100" w:before="80"/>
        <w:jc w:val="both"/>
      </w:pPr>
      <w:r>
        <w:rPr>
          <w:rFonts w:ascii="Arial" w:cs="Arial" w:eastAsia="Arial" w:hAnsi="Arial"/>
          <w:sz w:val="22"/>
          <w:szCs w:val="22"/>
        </w:rPr>
        <w:t xml:space="preserve">Cluster labels were assigned by ranking clusters on their mean Structural Health Index (SHI) — the cluster with the highest mean SHI was labelled "Healthy", and the lowest was labelled "Critical". This avoids arbitrary labelling and grounds cluster interpretation in a physically meaningful metric.</w:t>
      </w:r>
    </w:p>
    <w:p>
      <w:pPr>
        <w:spacing w:after="100" w:before="80"/>
        <w:jc w:val="both"/>
      </w:pPr>
      <w:r>
        <w:rPr>
          <w:rFonts w:ascii="Arial" w:cs="Arial" w:eastAsia="Arial" w:hAnsi="Arial"/>
          <w:sz w:val="22"/>
          <w:szCs w:val="22"/>
        </w:rPr>
        <w:t xml:space="preserve">PCA with two components was applied for visualisation. PC1 explains 45.2% of variance and PC2 explains 21.8%, together capturing 67% of structural variation in the 13-feature space.</w:t>
      </w:r>
    </w:p>
    <w:p>
      <w:pPr>
        <w:pStyle w:val="Heading2"/>
        <w:spacing w:after="140" w:before="280"/>
      </w:pPr>
      <w:r>
        <w:rPr>
          <w:rFonts w:ascii="Arial" w:cs="Arial" w:eastAsia="Arial" w:hAnsi="Arial"/>
          <w:b/>
          <w:bCs/>
          <w:color w:val="2E75B6"/>
          <w:sz w:val="26"/>
          <w:szCs w:val="26"/>
        </w:rPr>
        <w:t xml:space="preserve">4.4 Isolation Forest</w:t>
      </w:r>
    </w:p>
    <w:p>
      <w:pPr>
        <w:spacing w:after="100" w:before="80"/>
        <w:jc w:val="both"/>
      </w:pPr>
      <w:r>
        <w:rPr>
          <w:rFonts w:ascii="Arial" w:cs="Arial" w:eastAsia="Arial" w:hAnsi="Arial"/>
          <w:sz w:val="22"/>
          <w:szCs w:val="22"/>
        </w:rPr>
        <w:t xml:space="preserve">Isolation Forest was applied as an unsupervised anomaly detector. It works by randomly partitioning the feature space and measuring how quickly each observation can be isolated — anomalous points are isolated in fewer splits. The contamination parameter was set to 5% after a sensitivity analysis at 1%, 3%, 5%, 8%, and 10%, which showed linear scaling of anomaly counts with contamination, confirming the 5% setting as a reasonable operational threshold for bridge monitoring.</w:t>
      </w:r>
    </w:p>
    <w:p>
      <w:pPr>
        <w:spacing w:after="100" w:before="80"/>
        <w:jc w:val="both"/>
      </w:pPr>
      <w:r>
        <w:rPr>
          <w:rFonts w:ascii="Arial" w:cs="Arial" w:eastAsia="Arial" w:hAnsi="Arial"/>
          <w:sz w:val="22"/>
          <w:szCs w:val="22"/>
        </w:rPr>
        <w:t xml:space="preserve">Feature importance for the Isolation Forest was measured via absolute Pearson correlation between each feature and the anomaly score (negative = more anomalous). This provides an approximation of each feature's influence on the unsupervised decision boundary.</w:t>
      </w:r>
    </w:p>
    <w:p>
      <w:pPr>
        <w:pStyle w:val="Heading2"/>
        <w:spacing w:after="140" w:before="280"/>
      </w:pPr>
      <w:r>
        <w:rPr>
          <w:rFonts w:ascii="Arial" w:cs="Arial" w:eastAsia="Arial" w:hAnsi="Arial"/>
          <w:b/>
          <w:bCs/>
          <w:color w:val="2E75B6"/>
          <w:sz w:val="26"/>
          <w:szCs w:val="26"/>
        </w:rPr>
        <w:t xml:space="preserve">4.5 Random Forest Classifier</w:t>
      </w:r>
    </w:p>
    <w:p>
      <w:pPr>
        <w:pStyle w:val="Heading3"/>
        <w:spacing w:after="100" w:before="200"/>
      </w:pPr>
      <w:r>
        <w:rPr>
          <w:rFonts w:ascii="Arial" w:cs="Arial" w:eastAsia="Arial" w:hAnsi="Arial"/>
          <w:b/>
          <w:bCs/>
          <w:color w:val="2E75B6"/>
          <w:sz w:val="22"/>
          <w:szCs w:val="22"/>
        </w:rPr>
        <w:t xml:space="preserve">4.5.1 Target Variable</w:t>
      </w:r>
    </w:p>
    <w:p>
      <w:pPr>
        <w:spacing w:after="100" w:before="80"/>
        <w:jc w:val="both"/>
      </w:pPr>
      <w:r>
        <w:rPr>
          <w:rFonts w:ascii="Arial" w:cs="Arial" w:eastAsia="Arial" w:hAnsi="Arial"/>
          <w:sz w:val="22"/>
          <w:szCs w:val="22"/>
        </w:rPr>
        <w:t xml:space="preserve">The target variable was constructed from the Anomaly_Detection_Score column: readings in the top 5% of this score were labelled as anomalies (Target = 1), all others as normal (Target = 0). This yields 1,299 positive cases (3.0% anomaly rate).</w:t>
      </w:r>
    </w:p>
    <w:p>
      <w:pPr>
        <w:spacing w:after="100" w:before="80"/>
        <w:jc w:val="both"/>
      </w:pPr>
      <w:r>
        <w:rPr>
          <w:rFonts w:ascii="Arial" w:cs="Arial" w:eastAsia="Arial" w:hAnsi="Arial"/>
          <w:sz w:val="22"/>
          <w:szCs w:val="22"/>
        </w:rPr>
        <w:t xml:space="preserve">Critically, this is not circular: Anomaly_Detection_Score is not one of the 13 input features. The Random Forest therefore learns to predict from raw physical sensor readings whether the bridge's anomaly detection system would have flagged that reading — a practically useful capability.</w:t>
      </w:r>
    </w:p>
    <w:p>
      <w:pPr>
        <w:pStyle w:val="Heading3"/>
        <w:spacing w:after="100" w:before="200"/>
      </w:pPr>
      <w:r>
        <w:rPr>
          <w:rFonts w:ascii="Arial" w:cs="Arial" w:eastAsia="Arial" w:hAnsi="Arial"/>
          <w:b/>
          <w:bCs/>
          <w:color w:val="2E75B6"/>
          <w:sz w:val="22"/>
          <w:szCs w:val="22"/>
        </w:rPr>
        <w:t xml:space="preserve">4.5.2 Train-Test Split</w:t>
      </w:r>
    </w:p>
    <w:p>
      <w:pPr>
        <w:spacing w:after="100" w:before="80"/>
        <w:jc w:val="both"/>
      </w:pPr>
      <w:r>
        <w:rPr>
          <w:rFonts w:ascii="Arial" w:cs="Arial" w:eastAsia="Arial" w:hAnsi="Arial"/>
          <w:sz w:val="22"/>
          <w:szCs w:val="22"/>
        </w:rPr>
        <w:t xml:space="preserve">A chronological 80/20 split was used rather than a random split. For time-series data, a random split allows the model to train on future readings and test on past ones — a form of data leakage that artificially inflates performance metrics. The chronological split trains on the first 34,560 readings (January 1–24) and tests on the last 8,640 readings (January 25–30), faithfully simulating deployment on unseen future data.</w:t>
      </w:r>
    </w:p>
    <w:p>
      <w:pPr>
        <w:pStyle w:val="Heading3"/>
        <w:spacing w:after="100" w:before="200"/>
      </w:pPr>
      <w:r>
        <w:rPr>
          <w:rFonts w:ascii="Arial" w:cs="Arial" w:eastAsia="Arial" w:hAnsi="Arial"/>
          <w:b/>
          <w:bCs/>
          <w:color w:val="2E75B6"/>
          <w:sz w:val="22"/>
          <w:szCs w:val="22"/>
        </w:rPr>
        <w:t xml:space="preserve">4.5.3 Model Configuration</w:t>
      </w:r>
    </w:p>
    <w:p>
      <w:pPr>
        <w:spacing w:after="100" w:before="80"/>
        <w:jc w:val="both"/>
      </w:pPr>
      <w:r>
        <w:rPr>
          <w:rFonts w:ascii="Arial" w:cs="Arial" w:eastAsia="Arial" w:hAnsi="Arial"/>
          <w:sz w:val="22"/>
          <w:szCs w:val="22"/>
        </w:rPr>
        <w:t xml:space="preserve">The Random Forest was configured with 200 trees, maximum depth of 10, and class_weight='balanced' to compensate for the 3% anomaly rate. The balanced weighting adjusts the loss function so the minority class (anomalies) receives proportionally higher penalty for misclassification.</w:t>
      </w:r>
    </w:p>
    <w:p>
      <w:pPr>
        <w:pStyle w:val="Heading2"/>
        <w:spacing w:after="140" w:before="280"/>
      </w:pPr>
      <w:r>
        <w:rPr>
          <w:rFonts w:ascii="Arial" w:cs="Arial" w:eastAsia="Arial" w:hAnsi="Arial"/>
          <w:b/>
          <w:bCs/>
          <w:color w:val="2E75B6"/>
          <w:sz w:val="26"/>
          <w:szCs w:val="26"/>
        </w:rPr>
        <w:t xml:space="preserve">4.6 Maintenance Decision Engine</w:t>
      </w:r>
    </w:p>
    <w:p>
      <w:pPr>
        <w:spacing w:after="100" w:before="80"/>
        <w:jc w:val="both"/>
      </w:pPr>
      <w:r>
        <w:rPr>
          <w:rFonts w:ascii="Arial" w:cs="Arial" w:eastAsia="Arial" w:hAnsi="Arial"/>
          <w:sz w:val="22"/>
          <w:szCs w:val="22"/>
        </w:rPr>
        <w:t xml:space="preserve">The Maintenance Decision Engine aggregates three independent signals into a single alert level:</w:t>
      </w:r>
    </w:p>
    <w:p>
      <w:pPr>
        <w:pStyle w:val="ListParagraph"/>
        <w:numPr>
          <w:ilvl w:val="0"/>
          <w:numId w:val="2"/>
        </w:numPr>
        <w:spacing w:after="60" w:before="60"/>
      </w:pPr>
      <w:r>
        <w:rPr>
          <w:rFonts w:ascii="Arial" w:cs="Arial" w:eastAsia="Arial" w:hAnsi="Arial"/>
          <w:sz w:val="22"/>
          <w:szCs w:val="22"/>
        </w:rPr>
        <w:t xml:space="preserve">Signal 1: Isolation Forest flag (unsupervised)</w:t>
      </w:r>
    </w:p>
    <w:p>
      <w:pPr>
        <w:pStyle w:val="ListParagraph"/>
        <w:numPr>
          <w:ilvl w:val="0"/>
          <w:numId w:val="2"/>
        </w:numPr>
        <w:spacing w:after="60" w:before="60"/>
      </w:pPr>
      <w:r>
        <w:rPr>
          <w:rFonts w:ascii="Arial" w:cs="Arial" w:eastAsia="Arial" w:hAnsi="Arial"/>
          <w:sz w:val="22"/>
          <w:szCs w:val="22"/>
        </w:rPr>
        <w:t xml:space="preserve">Signal 2: Random Forest prediction (supervised)</w:t>
      </w:r>
    </w:p>
    <w:p>
      <w:pPr>
        <w:pStyle w:val="ListParagraph"/>
        <w:numPr>
          <w:ilvl w:val="0"/>
          <w:numId w:val="2"/>
        </w:numPr>
        <w:spacing w:after="60" w:before="60"/>
      </w:pPr>
      <w:r>
        <w:rPr>
          <w:rFonts w:ascii="Arial" w:cs="Arial" w:eastAsia="Arial" w:hAnsi="Arial"/>
          <w:sz w:val="22"/>
          <w:szCs w:val="22"/>
        </w:rPr>
        <w:t xml:space="preserve">Signal 3: Maintenance_Alert column from dataset</w:t>
      </w:r>
    </w:p>
    <w:p>
      <w:pPr>
        <w:spacing w:after="100" w:before="80"/>
        <w:jc w:val="both"/>
      </w:pPr>
      <w:r>
        <w:rPr>
          <w:rFonts w:ascii="Arial" w:cs="Arial" w:eastAsia="Arial" w:hAnsi="Arial"/>
          <w:sz w:val="22"/>
          <w:szCs w:val="22"/>
        </w:rPr>
        <w:t xml:space="preserve">A score from 0–3 (number of signals active) maps to four alert levels: GREEN (no action), YELLOW (monitor closely), ORANGE (schedule inspection), RED (immediate action required). This multi-signal approach reduces false positives compared to relying on any single model.</w:t>
      </w:r>
    </w:p>
    <w:p>
      <w:pPr>
        <w:spacing w:after="80" w:before="80"/>
      </w:pPr>
      <w:r>
        <w:t xml:space="preserve"/>
      </w:r>
    </w:p>
    <w:p>
      <w:r>
        <w:br w:type="page"/>
      </w:r>
    </w:p>
    <w:p>
      <w:pPr>
        <w:pStyle w:val="Heading1"/>
        <w:spacing w:after="180" w:before="360"/>
      </w:pPr>
      <w:r>
        <w:rPr>
          <w:rFonts w:ascii="Arial" w:cs="Arial" w:eastAsia="Arial" w:hAnsi="Arial"/>
          <w:b/>
          <w:bCs/>
          <w:color w:val="1F4E79"/>
          <w:sz w:val="32"/>
          <w:szCs w:val="32"/>
        </w:rPr>
        <w:t xml:space="preserve">5. Results</w:t>
      </w:r>
    </w:p>
    <w:p>
      <w:pPr>
        <w:pStyle w:val="Heading2"/>
        <w:spacing w:after="140" w:before="280"/>
      </w:pPr>
      <w:r>
        <w:rPr>
          <w:rFonts w:ascii="Arial" w:cs="Arial" w:eastAsia="Arial" w:hAnsi="Arial"/>
          <w:b/>
          <w:bCs/>
          <w:color w:val="2E75B6"/>
          <w:sz w:val="26"/>
          <w:szCs w:val="26"/>
        </w:rPr>
        <w:t xml:space="preserve">5.1 K-Means Clustering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40"/>
        <w:gridCol w:w="1640"/>
        <w:gridCol w:w="1940"/>
        <w:gridCol w:w="1940"/>
      </w:tblGrid>
      <w:tr>
        <w:trPr>
          <w:tblHeader/>
        </w:trPr>
        <w:tc>
          <w:tcPr>
            <w:tcW w:type="dxa" w:w="2200"/>
            <w:tcBorders>
              <w:top w:val="single" w:color="1F4E79" w:sz="2"/>
              <w:left w:val="single" w:color="1F4E79" w:sz="2"/>
              <w:bottom w:val="single" w:color="1F4E79" w:sz="2"/>
              <w:right w:val="single" w:color="1F4E79" w:sz="2"/>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Cluster</w:t>
            </w:r>
          </w:p>
        </w:tc>
        <w:tc>
          <w:tcPr>
            <w:tcW w:type="dxa" w:w="1640"/>
            <w:tcBorders>
              <w:top w:val="single" w:color="1F4E79" w:sz="2"/>
              <w:left w:val="single" w:color="1F4E79" w:sz="2"/>
              <w:bottom w:val="single" w:color="1F4E79" w:sz="2"/>
              <w:right w:val="single" w:color="1F4E79" w:sz="2"/>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Readings</w:t>
            </w:r>
          </w:p>
        </w:tc>
        <w:tc>
          <w:tcPr>
            <w:tcW w:type="dxa" w:w="1640"/>
            <w:tcBorders>
              <w:top w:val="single" w:color="1F4E79" w:sz="2"/>
              <w:left w:val="single" w:color="1F4E79" w:sz="2"/>
              <w:bottom w:val="single" w:color="1F4E79" w:sz="2"/>
              <w:right w:val="single" w:color="1F4E79" w:sz="2"/>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Share</w:t>
            </w:r>
          </w:p>
        </w:tc>
        <w:tc>
          <w:tcPr>
            <w:tcW w:type="dxa" w:w="1940"/>
            <w:tcBorders>
              <w:top w:val="single" w:color="1F4E79" w:sz="2"/>
              <w:left w:val="single" w:color="1F4E79" w:sz="2"/>
              <w:bottom w:val="single" w:color="1F4E79" w:sz="2"/>
              <w:right w:val="single" w:color="1F4E79" w:sz="2"/>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Mean Strain (μɛ)</w:t>
            </w:r>
          </w:p>
        </w:tc>
        <w:tc>
          <w:tcPr>
            <w:tcW w:type="dxa" w:w="1940"/>
            <w:tcBorders>
              <w:top w:val="single" w:color="1F4E79" w:sz="2"/>
              <w:left w:val="single" w:color="1F4E79" w:sz="2"/>
              <w:bottom w:val="single" w:color="1F4E79" w:sz="2"/>
              <w:right w:val="single" w:color="1F4E79" w:sz="2"/>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Anomaly Rate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1E6B3D"/>
                <w:sz w:val="20"/>
                <w:szCs w:val="20"/>
              </w:rPr>
              <w:t xml:space="preserve">Healthy</w:t>
            </w:r>
          </w:p>
        </w:tc>
        <w:tc>
          <w:tcPr>
            <w:tcW w:type="dxa" w:w="16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16,038</w:t>
            </w:r>
          </w:p>
        </w:tc>
        <w:tc>
          <w:tcPr>
            <w:tcW w:type="dxa" w:w="16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37.1%</w:t>
            </w:r>
          </w:p>
        </w:tc>
        <w:tc>
          <w:tcPr>
            <w:tcW w:type="dxa" w:w="19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688.8</w:t>
            </w:r>
          </w:p>
        </w:tc>
        <w:tc>
          <w:tcPr>
            <w:tcW w:type="dxa" w:w="19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E6B3D"/>
                <w:sz w:val="20"/>
                <w:szCs w:val="20"/>
              </w:rPr>
              <w:t xml:space="preserve">1.2%</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bCs/>
                <w:color w:val="7B4F00"/>
                <w:sz w:val="20"/>
                <w:szCs w:val="20"/>
              </w:rPr>
              <w:t xml:space="preserve">Moderate Stress</w:t>
            </w:r>
          </w:p>
        </w:tc>
        <w:tc>
          <w:tcPr>
            <w:tcW w:type="dxa" w:w="164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15,968</w:t>
            </w:r>
          </w:p>
        </w:tc>
        <w:tc>
          <w:tcPr>
            <w:tcW w:type="dxa" w:w="164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37.0%</w:t>
            </w:r>
          </w:p>
        </w:tc>
        <w:tc>
          <w:tcPr>
            <w:tcW w:type="dxa" w:w="194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695.0</w:t>
            </w:r>
          </w:p>
        </w:tc>
        <w:tc>
          <w:tcPr>
            <w:tcW w:type="dxa" w:w="194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val="false"/>
                <w:bCs w:val="false"/>
                <w:color w:val="7B4F00"/>
                <w:sz w:val="20"/>
                <w:szCs w:val="20"/>
              </w:rPr>
              <w:t xml:space="preserve">1.1%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B30000"/>
                <w:sz w:val="20"/>
                <w:szCs w:val="20"/>
              </w:rPr>
              <w:t xml:space="preserve">Critical</w:t>
            </w:r>
          </w:p>
        </w:tc>
        <w:tc>
          <w:tcPr>
            <w:tcW w:type="dxa" w:w="16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11,194</w:t>
            </w:r>
          </w:p>
        </w:tc>
        <w:tc>
          <w:tcPr>
            <w:tcW w:type="dxa" w:w="16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25.9%</w:t>
            </w:r>
          </w:p>
        </w:tc>
        <w:tc>
          <w:tcPr>
            <w:tcW w:type="dxa" w:w="19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1,310.3</w:t>
            </w:r>
          </w:p>
        </w:tc>
        <w:tc>
          <w:tcPr>
            <w:tcW w:type="dxa" w:w="19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B30000"/>
                <w:sz w:val="20"/>
                <w:szCs w:val="20"/>
              </w:rPr>
              <w:t xml:space="preserve">16.0%</w:t>
            </w:r>
          </w:p>
        </w:tc>
      </w:tr>
    </w:tbl>
    <w:p>
      <w:pPr>
        <w:spacing w:after="160" w:before="60"/>
        <w:jc w:val="center"/>
      </w:pPr>
      <w:r>
        <w:rPr>
          <w:rFonts w:ascii="Arial" w:cs="Arial" w:eastAsia="Arial" w:hAnsi="Arial"/>
          <w:color w:val="595959"/>
          <w:sz w:val="18"/>
          <w:szCs w:val="18"/>
        </w:rPr>
        <w:t xml:space="preserve">Table 4: K-Means cluster distribution and key characteristics.</w:t>
      </w:r>
    </w:p>
    <w:p>
      <w:pPr>
        <w:spacing w:after="100" w:before="80"/>
        <w:jc w:val="both"/>
      </w:pPr>
      <w:r>
        <w:rPr>
          <w:rFonts w:ascii="Arial" w:cs="Arial" w:eastAsia="Arial" w:hAnsi="Arial"/>
          <w:sz w:val="22"/>
          <w:szCs w:val="22"/>
        </w:rPr>
        <w:t xml:space="preserve">The Critical cluster is clearly distinguished by substantially higher strain (1,310 vs ~690 μɛ), deflection (18.6 vs ~14 mm), traffic volume (1,723 vs ~644 vph), and cable tension (610 vs ~429 kN). The Healthy and Moderate Stress clusters are differentiated primarily by corrosion level (0.075% vs 0.225%) and crack propagation rate (0.007 vs 0.023 mm), indicating that the K-Means algorithm successfully separated chronic deterioration patterns from loading-driven stress patterns.</w:t>
      </w:r>
    </w:p>
    <w:p>
      <w:pPr>
        <w:pStyle w:val="Heading2"/>
        <w:spacing w:after="140" w:before="280"/>
      </w:pPr>
      <w:r>
        <w:rPr>
          <w:rFonts w:ascii="Arial" w:cs="Arial" w:eastAsia="Arial" w:hAnsi="Arial"/>
          <w:b/>
          <w:bCs/>
          <w:color w:val="2E75B6"/>
          <w:sz w:val="26"/>
          <w:szCs w:val="26"/>
        </w:rPr>
        <w:t xml:space="preserve">5.2 Isolation Forest Results</w:t>
      </w:r>
    </w:p>
    <w:p>
      <w:pPr>
        <w:spacing w:after="100" w:before="80"/>
        <w:jc w:val="both"/>
      </w:pPr>
      <w:r>
        <w:rPr>
          <w:rFonts w:ascii="Arial" w:cs="Arial" w:eastAsia="Arial" w:hAnsi="Arial"/>
          <w:sz w:val="22"/>
          <w:szCs w:val="22"/>
        </w:rPr>
        <w:t xml:space="preserve">With contamination set to 5%, the Isolation Forest flagged 2,160 anomalies (5.0% of all readings). The distribution of the Isolation Forest anomaly score showed a clear left tail for anomalous readings (scores below 0) and a concentrated right distribution for normal readings (scores above 0), validating the effectiveness of the decision boundary.</w:t>
      </w:r>
    </w:p>
    <w:p>
      <w:pPr>
        <w:spacing w:after="100" w:before="80"/>
        <w:jc w:val="both"/>
      </w:pPr>
      <w:r>
        <w:rPr>
          <w:rFonts w:ascii="Arial" w:cs="Arial" w:eastAsia="Arial" w:hAnsi="Arial"/>
          <w:sz w:val="22"/>
          <w:szCs w:val="22"/>
        </w:rPr>
        <w:t xml:space="preserve">The most influential features for the Isolation Forest, measured by absolute correlation with the anomaly score, were: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3000"/>
        <w:gridCol w:w="3000"/>
      </w:tblGrid>
      <w:tr>
        <w:trPr>
          <w:tblHeader/>
        </w:trPr>
        <w:tc>
          <w:tcPr>
            <w:tcW w:type="dxa" w:w="3360"/>
            <w:tcBorders>
              <w:top w:val="single" w:color="1F4E79" w:sz="2"/>
              <w:left w:val="single" w:color="1F4E79" w:sz="2"/>
              <w:bottom w:val="single" w:color="1F4E79" w:sz="2"/>
              <w:right w:val="single" w:color="1F4E79" w:sz="2"/>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Feature</w:t>
            </w:r>
          </w:p>
        </w:tc>
        <w:tc>
          <w:tcPr>
            <w:tcW w:type="dxa" w:w="3000"/>
            <w:tcBorders>
              <w:top w:val="single" w:color="1F4E79" w:sz="2"/>
              <w:left w:val="single" w:color="1F4E79" w:sz="2"/>
              <w:bottom w:val="single" w:color="1F4E79" w:sz="2"/>
              <w:right w:val="single" w:color="1F4E79" w:sz="2"/>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Correlation |r|</w:t>
            </w:r>
          </w:p>
        </w:tc>
        <w:tc>
          <w:tcPr>
            <w:tcW w:type="dxa" w:w="3000"/>
            <w:tcBorders>
              <w:top w:val="single" w:color="1F4E79" w:sz="2"/>
              <w:left w:val="single" w:color="1F4E79" w:sz="2"/>
              <w:bottom w:val="single" w:color="1F4E79" w:sz="2"/>
              <w:right w:val="single" w:color="1F4E79" w:sz="2"/>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Interpretation</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Strain_microstrain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0.609</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Strongest influence on IF</w:t>
            </w:r>
          </w:p>
        </w:tc>
      </w:tr>
      <w:tr>
        <w:tc>
          <w:tcPr>
            <w:tcW w:type="dxa" w:w="33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Cable_Member_Tension_kN</w:t>
            </w:r>
          </w:p>
        </w:tc>
        <w:tc>
          <w:tcPr>
            <w:tcW w:type="dxa" w:w="3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0.583</w:t>
            </w:r>
          </w:p>
        </w:tc>
        <w:tc>
          <w:tcPr>
            <w:tcW w:type="dxa" w:w="3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Load-bearing capacity indicator</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Traffic_Volume_vph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0.566</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Load frequency driver</w:t>
            </w:r>
          </w:p>
        </w:tc>
      </w:tr>
      <w:tr>
        <w:tc>
          <w:tcPr>
            <w:tcW w:type="dxa" w:w="33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Vehicle_Load_tons</w:t>
            </w:r>
          </w:p>
        </w:tc>
        <w:tc>
          <w:tcPr>
            <w:tcW w:type="dxa" w:w="3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0.566</w:t>
            </w:r>
          </w:p>
        </w:tc>
        <w:tc>
          <w:tcPr>
            <w:tcW w:type="dxa" w:w="3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Primary live load</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Vibration_ms2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0.541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Dynamic response</w:t>
            </w:r>
          </w:p>
        </w:tc>
      </w:tr>
      <w:tr>
        <w:tc>
          <w:tcPr>
            <w:tcW w:type="dxa" w:w="33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Corrosion_Level_percent</w:t>
            </w:r>
          </w:p>
        </w:tc>
        <w:tc>
          <w:tcPr>
            <w:tcW w:type="dxa" w:w="3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0.021</w:t>
            </w:r>
          </w:p>
        </w:tc>
        <w:tc>
          <w:tcPr>
            <w:tcW w:type="dxa" w:w="3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Minimal IF influence</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Crack_Propagation_mm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0.010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Minimal IF influence</w:t>
            </w:r>
          </w:p>
        </w:tc>
      </w:tr>
    </w:tbl>
    <w:p>
      <w:pPr>
        <w:spacing w:after="160" w:before="60"/>
        <w:jc w:val="center"/>
      </w:pPr>
      <w:r>
        <w:rPr>
          <w:rFonts w:ascii="Arial" w:cs="Arial" w:eastAsia="Arial" w:hAnsi="Arial"/>
          <w:color w:val="595959"/>
          <w:sz w:val="18"/>
          <w:szCs w:val="18"/>
        </w:rPr>
        <w:t xml:space="preserve">Table 5: Isolation Forest feature influence rankings.</w:t>
      </w:r>
    </w:p>
    <w:p>
      <w:pPr>
        <w:spacing w:after="100" w:before="80"/>
        <w:jc w:val="both"/>
      </w:pPr>
      <w:r>
        <w:rPr>
          <w:rFonts w:ascii="Arial" w:cs="Arial" w:eastAsia="Arial" w:hAnsi="Arial"/>
          <w:sz w:val="22"/>
          <w:szCs w:val="22"/>
        </w:rPr>
        <w:t xml:space="preserve">A particularly significant finding is the cross-validation between K-Means and Isolation Forest: the Critical cluster (identified by K-Means using only feature patterns) contains 16.0% anomaly rate by the Isolation Forest, compared to just 1.1–1.2% in the Healthy and Moderate Stress clusters. Since neither model was informed by the other's output, this agreement constitutes independent validation of both methods.</w:t>
      </w:r>
    </w:p>
    <w:p>
      <w:pPr>
        <w:pStyle w:val="Heading2"/>
        <w:spacing w:after="140" w:before="280"/>
      </w:pPr>
      <w:r>
        <w:rPr>
          <w:rFonts w:ascii="Arial" w:cs="Arial" w:eastAsia="Arial" w:hAnsi="Arial"/>
          <w:b/>
          <w:bCs/>
          <w:color w:val="2E75B6"/>
          <w:sz w:val="26"/>
          <w:szCs w:val="26"/>
        </w:rPr>
        <w:t xml:space="preserve">5.3 Random Forest Results</w:t>
      </w:r>
    </w:p>
    <w:p>
      <w:pPr>
        <w:pStyle w:val="Heading3"/>
        <w:spacing w:after="100" w:before="200"/>
      </w:pPr>
      <w:r>
        <w:rPr>
          <w:rFonts w:ascii="Arial" w:cs="Arial" w:eastAsia="Arial" w:hAnsi="Arial"/>
          <w:b/>
          <w:bCs/>
          <w:color w:val="2E75B6"/>
          <w:sz w:val="22"/>
          <w:szCs w:val="22"/>
        </w:rPr>
        <w:t xml:space="preserve">5.3.1 Performance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F4E79" w:sz="2"/>
              <w:left w:val="single" w:color="1F4E79" w:sz="2"/>
              <w:bottom w:val="single" w:color="1F4E79" w:sz="2"/>
              <w:right w:val="single" w:color="1F4E79" w:sz="2"/>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Metric</w:t>
            </w:r>
          </w:p>
        </w:tc>
        <w:tc>
          <w:tcPr>
            <w:tcW w:type="dxa" w:w="3120"/>
            <w:tcBorders>
              <w:top w:val="single" w:color="1F4E79" w:sz="2"/>
              <w:left w:val="single" w:color="1F4E79" w:sz="2"/>
              <w:bottom w:val="single" w:color="1F4E79" w:sz="2"/>
              <w:right w:val="single" w:color="1F4E79" w:sz="2"/>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Value</w:t>
            </w:r>
          </w:p>
        </w:tc>
        <w:tc>
          <w:tcPr>
            <w:tcW w:type="dxa" w:w="3120"/>
            <w:tcBorders>
              <w:top w:val="single" w:color="1F4E79" w:sz="2"/>
              <w:left w:val="single" w:color="1F4E79" w:sz="2"/>
              <w:bottom w:val="single" w:color="1F4E79" w:sz="2"/>
              <w:right w:val="single" w:color="1F4E79" w:sz="2"/>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Interpretation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Accuracy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93.3%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Correct classifications</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ROC-AUC</w:t>
            </w:r>
          </w:p>
        </w:tc>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0.897</w:t>
            </w:r>
          </w:p>
        </w:tc>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Strong discrimination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Anomaly Precision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0.20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Low — many false positives</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Anomaly Recall</w:t>
            </w:r>
          </w:p>
        </w:tc>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0.42</w:t>
            </w:r>
          </w:p>
        </w:tc>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42% of true anomalies caught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Anomaly F1-Score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0.27</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Reflects class imbalance challenge</w:t>
            </w:r>
          </w:p>
        </w:tc>
      </w:tr>
    </w:tbl>
    <w:p>
      <w:pPr>
        <w:spacing w:after="160" w:before="60"/>
        <w:jc w:val="center"/>
      </w:pPr>
      <w:r>
        <w:rPr>
          <w:rFonts w:ascii="Arial" w:cs="Arial" w:eastAsia="Arial" w:hAnsi="Arial"/>
          <w:color w:val="595959"/>
          <w:sz w:val="18"/>
          <w:szCs w:val="18"/>
        </w:rPr>
        <w:t xml:space="preserve">Table 6: Random Forest classification performance on the test set (chronological split).</w:t>
      </w:r>
    </w:p>
    <w:p>
      <w:pPr>
        <w:pStyle w:val="Heading3"/>
        <w:spacing w:after="100" w:before="200"/>
      </w:pPr>
      <w:r>
        <w:rPr>
          <w:rFonts w:ascii="Arial" w:cs="Arial" w:eastAsia="Arial" w:hAnsi="Arial"/>
          <w:b/>
          <w:bCs/>
          <w:color w:val="2E75B6"/>
          <w:sz w:val="22"/>
          <w:szCs w:val="22"/>
        </w:rPr>
        <w:t xml:space="preserve">5.3.2 Confusion Matrix Analysis</w:t>
      </w:r>
    </w:p>
    <w:p>
      <w:pPr>
        <w:spacing w:after="100" w:before="80"/>
        <w:jc w:val="both"/>
      </w:pPr>
      <w:r>
        <w:rPr>
          <w:rFonts w:ascii="Arial" w:cs="Arial" w:eastAsia="Arial" w:hAnsi="Arial"/>
          <w:sz w:val="22"/>
          <w:szCs w:val="22"/>
        </w:rPr>
        <w:t xml:space="preserve">Of 257 true anomalies in the test set, the model correctly identified 108 (recall = 42%) while missing 149 (false negatives). It also generated 431 false positives from 8,383 normal readings. In the context of bridge safety, false negatives (missed anomalies) are more dangerous than false positives (unnecessary inspections). The low recall indicates that the model is conservative — it correctly identifies the most extreme anomalies but struggles with borderline cases.</w:t>
      </w:r>
    </w:p>
    <w:p>
      <w:pPr>
        <w:spacing w:after="100" w:before="80"/>
        <w:jc w:val="both"/>
      </w:pPr>
      <w:r>
        <w:rPr>
          <w:rFonts w:ascii="Arial" w:cs="Arial" w:eastAsia="Arial" w:hAnsi="Arial"/>
          <w:sz w:val="22"/>
          <w:szCs w:val="22"/>
        </w:rPr>
        <w:t xml:space="preserve">The ROC-AUC of 0.897 indicates that the model has strong discriminative ability when using probability thresholds rather than the default 0.5 threshold. In practice, lowering the classification threshold (e.g., to 0.3) would increase recall at the cost of more false positives — an appropriate trade-off for safety-critical applications.</w:t>
      </w:r>
    </w:p>
    <w:p>
      <w:pPr>
        <w:pStyle w:val="Heading3"/>
        <w:spacing w:after="100" w:before="200"/>
      </w:pPr>
      <w:r>
        <w:rPr>
          <w:rFonts w:ascii="Arial" w:cs="Arial" w:eastAsia="Arial" w:hAnsi="Arial"/>
          <w:b/>
          <w:bCs/>
          <w:color w:val="2E75B6"/>
          <w:sz w:val="22"/>
          <w:szCs w:val="22"/>
        </w:rPr>
        <w:t xml:space="preserve">5.3.3 Feature Importance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60"/>
        <w:gridCol w:w="2800"/>
        <w:gridCol w:w="2800"/>
      </w:tblGrid>
      <w:tr>
        <w:trPr>
          <w:tblHeader/>
        </w:trPr>
        <w:tc>
          <w:tcPr>
            <w:tcW w:type="dxa" w:w="3760"/>
            <w:tcBorders>
              <w:top w:val="single" w:color="1F4E79" w:sz="2"/>
              <w:left w:val="single" w:color="1F4E79" w:sz="2"/>
              <w:bottom w:val="single" w:color="1F4E79" w:sz="2"/>
              <w:right w:val="single" w:color="1F4E79" w:sz="2"/>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Feature</w:t>
            </w:r>
          </w:p>
        </w:tc>
        <w:tc>
          <w:tcPr>
            <w:tcW w:type="dxa" w:w="2800"/>
            <w:tcBorders>
              <w:top w:val="single" w:color="1F4E79" w:sz="2"/>
              <w:left w:val="single" w:color="1F4E79" w:sz="2"/>
              <w:bottom w:val="single" w:color="1F4E79" w:sz="2"/>
              <w:right w:val="single" w:color="1F4E79" w:sz="2"/>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RF Importance</w:t>
            </w:r>
          </w:p>
        </w:tc>
        <w:tc>
          <w:tcPr>
            <w:tcW w:type="dxa" w:w="2800"/>
            <w:tcBorders>
              <w:top w:val="single" w:color="1F4E79" w:sz="2"/>
              <w:left w:val="single" w:color="1F4E79" w:sz="2"/>
              <w:bottom w:val="single" w:color="1F4E79" w:sz="2"/>
              <w:right w:val="single" w:color="1F4E79" w:sz="2"/>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IF Influence</w:t>
            </w:r>
          </w:p>
        </w:tc>
      </w:tr>
      <w:tr>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Deflection_mm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0.244 (#1)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0.203 (#8)</w:t>
            </w:r>
          </w:p>
        </w:tc>
      </w:tr>
      <w:tr>
        <w:tc>
          <w:tcPr>
            <w:tcW w:type="dxa" w:w="37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Tilt_deg</w:t>
            </w:r>
          </w:p>
        </w:tc>
        <w:tc>
          <w:tcPr>
            <w:tcW w:type="dxa" w:w="2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0.182 (#2)</w:t>
            </w:r>
          </w:p>
        </w:tc>
        <w:tc>
          <w:tcPr>
            <w:tcW w:type="dxa" w:w="2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0.454 (#7)</w:t>
            </w:r>
          </w:p>
        </w:tc>
      </w:tr>
      <w:tr>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Strain_microstrain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0.149 (#3)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0.609 (#1)</w:t>
            </w:r>
          </w:p>
        </w:tc>
      </w:tr>
      <w:tr>
        <w:tc>
          <w:tcPr>
            <w:tcW w:type="dxa" w:w="37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Wind_Speed_ms</w:t>
            </w:r>
          </w:p>
        </w:tc>
        <w:tc>
          <w:tcPr>
            <w:tcW w:type="dxa" w:w="2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0.091 (#4)</w:t>
            </w:r>
          </w:p>
        </w:tc>
        <w:tc>
          <w:tcPr>
            <w:tcW w:type="dxa" w:w="2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0.137 (#9)</w:t>
            </w:r>
          </w:p>
        </w:tc>
      </w:tr>
      <w:tr>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Cable_Member_Tension_kN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0.049 (#8)</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0.583 (#2)</w:t>
            </w:r>
          </w:p>
        </w:tc>
      </w:tr>
      <w:tr>
        <w:tc>
          <w:tcPr>
            <w:tcW w:type="dxa" w:w="37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Crack_Propagation_mm</w:t>
            </w:r>
          </w:p>
        </w:tc>
        <w:tc>
          <w:tcPr>
            <w:tcW w:type="dxa" w:w="2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0.017 (#13)</w:t>
            </w:r>
          </w:p>
        </w:tc>
        <w:tc>
          <w:tcPr>
            <w:tcW w:type="dxa" w:w="2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0.010 (#13)</w:t>
            </w:r>
          </w:p>
        </w:tc>
      </w:tr>
    </w:tbl>
    <w:p>
      <w:pPr>
        <w:spacing w:after="160" w:before="60"/>
        <w:jc w:val="center"/>
      </w:pPr>
      <w:r>
        <w:rPr>
          <w:rFonts w:ascii="Arial" w:cs="Arial" w:eastAsia="Arial" w:hAnsi="Arial"/>
          <w:color w:val="595959"/>
          <w:sz w:val="18"/>
          <w:szCs w:val="18"/>
        </w:rPr>
        <w:t xml:space="preserve">Table 7: Comparison of feature importance between RF and IF models.</w:t>
      </w:r>
    </w:p>
    <w:p>
      <w:pPr>
        <w:spacing w:after="100" w:before="80"/>
        <w:jc w:val="both"/>
      </w:pPr>
      <w:r>
        <w:rPr>
          <w:rFonts w:ascii="Arial" w:cs="Arial" w:eastAsia="Arial" w:hAnsi="Arial"/>
          <w:sz w:val="22"/>
          <w:szCs w:val="22"/>
        </w:rPr>
        <w:t xml:space="preserve">The divergence in feature importance between the two models is a meaningful insight. Deflection and Tilt dominate the RF (a deformation-pattern detector), while Strain and Cable Tension dominate the IF (a load-magnitude detector). This suggests the two algorithms are detecting different aspects of structural anomaly: the RF is more sensitive to geometric changes in bridge shape, while the IF is more responsive to extreme loading events.</w:t>
      </w:r>
    </w:p>
    <w:p>
      <w:pPr>
        <w:spacing w:after="80" w:before="80"/>
      </w:pPr>
      <w:r>
        <w:t xml:space="preserve"/>
      </w:r>
    </w:p>
    <w:p>
      <w:r>
        <w:br w:type="page"/>
      </w:r>
    </w:p>
    <w:p>
      <w:pPr>
        <w:pStyle w:val="Heading1"/>
        <w:spacing w:after="180" w:before="360"/>
      </w:pPr>
      <w:r>
        <w:rPr>
          <w:rFonts w:ascii="Arial" w:cs="Arial" w:eastAsia="Arial" w:hAnsi="Arial"/>
          <w:b/>
          <w:bCs/>
          <w:color w:val="1F4E79"/>
          <w:sz w:val="32"/>
          <w:szCs w:val="32"/>
        </w:rPr>
        <w:t xml:space="preserve">6. Discussion</w:t>
      </w:r>
    </w:p>
    <w:p>
      <w:pPr>
        <w:pStyle w:val="Heading2"/>
        <w:spacing w:after="140" w:before="280"/>
      </w:pPr>
      <w:r>
        <w:rPr>
          <w:rFonts w:ascii="Arial" w:cs="Arial" w:eastAsia="Arial" w:hAnsi="Arial"/>
          <w:b/>
          <w:bCs/>
          <w:color w:val="2E75B6"/>
          <w:sz w:val="26"/>
          <w:szCs w:val="26"/>
        </w:rPr>
        <w:t xml:space="preserve">6.1 Cross-Model Validation</w:t>
      </w:r>
    </w:p>
    <w:p>
      <w:pPr>
        <w:spacing w:after="100" w:before="80"/>
        <w:jc w:val="both"/>
      </w:pPr>
      <w:r>
        <w:rPr>
          <w:rFonts w:ascii="Arial" w:cs="Arial" w:eastAsia="Arial" w:hAnsi="Arial"/>
          <w:sz w:val="22"/>
          <w:szCs w:val="22"/>
        </w:rPr>
        <w:t xml:space="preserve">One of the most significant findings of this project is the independent convergence of K-Means and Isolation Forest on the same structural risk pattern. The Critical cluster (defined by high strain and cable tension) had a 16× higher anomaly rate than the Healthy cluster. Since K-Means used no anomaly labels and the Isolation Forest used no cluster labels, their agreement provides mutual validation — a rare and valuable result in unsupervised learning.</w:t>
      </w:r>
    </w:p>
    <w:p>
      <w:pPr>
        <w:pStyle w:val="Heading2"/>
        <w:spacing w:after="140" w:before="280"/>
      </w:pPr>
      <w:r>
        <w:rPr>
          <w:rFonts w:ascii="Arial" w:cs="Arial" w:eastAsia="Arial" w:hAnsi="Arial"/>
          <w:b/>
          <w:bCs/>
          <w:color w:val="2E75B6"/>
          <w:sz w:val="26"/>
          <w:szCs w:val="26"/>
        </w:rPr>
        <w:t xml:space="preserve">6.2 Interpretation of Low Recall</w:t>
      </w:r>
    </w:p>
    <w:p>
      <w:pPr>
        <w:spacing w:after="100" w:before="80"/>
        <w:jc w:val="both"/>
      </w:pPr>
      <w:r>
        <w:rPr>
          <w:rFonts w:ascii="Arial" w:cs="Arial" w:eastAsia="Arial" w:hAnsi="Arial"/>
          <w:sz w:val="22"/>
          <w:szCs w:val="22"/>
        </w:rPr>
        <w:t xml:space="preserve">The Random Forest's anomaly recall of 42% should be contextualised rather than dismissed. The chronological split means the model is tested on a structurally distinct period (January 25–30) after training only on January 1–24. If the anomaly patterns in the test period are somewhat different from those in training — which is likely in real bridge monitoring where conditions evolve — low recall is expected and honest. A random split would have given artificially high recall.</w:t>
      </w:r>
    </w:p>
    <w:p>
      <w:pPr>
        <w:spacing w:after="100" w:before="80"/>
        <w:jc w:val="both"/>
      </w:pPr>
      <w:r>
        <w:rPr>
          <w:rFonts w:ascii="Arial" w:cs="Arial" w:eastAsia="Arial" w:hAnsi="Arial"/>
          <w:sz w:val="22"/>
          <w:szCs w:val="22"/>
        </w:rPr>
        <w:t xml:space="preserve">In safety-critical contexts, the ROC-AUC of 0.897 is the more relevant metric. It indicates the model has strong rank-ordering ability — it assigns higher anomaly probabilities to true anomalies than to normal readings in 89.7% of cases. Adjusting the decision threshold from 0.5 to 0.3 would increase recall substantially.</w:t>
      </w:r>
    </w:p>
    <w:p>
      <w:pPr>
        <w:pStyle w:val="Heading2"/>
        <w:spacing w:after="140" w:before="280"/>
      </w:pPr>
      <w:r>
        <w:rPr>
          <w:rFonts w:ascii="Arial" w:cs="Arial" w:eastAsia="Arial" w:hAnsi="Arial"/>
          <w:b/>
          <w:bCs/>
          <w:color w:val="2E75B6"/>
          <w:sz w:val="26"/>
          <w:szCs w:val="26"/>
        </w:rPr>
        <w:t xml:space="preserve">6.3 Limitations</w:t>
      </w:r>
    </w:p>
    <w:p>
      <w:pPr>
        <w:pStyle w:val="ListParagraph"/>
        <w:numPr>
          <w:ilvl w:val="0"/>
          <w:numId w:val="2"/>
        </w:numPr>
        <w:spacing w:after="60" w:before="60"/>
      </w:pPr>
      <w:r>
        <w:rPr>
          <w:rFonts w:ascii="Arial" w:cs="Arial" w:eastAsia="Arial" w:hAnsi="Arial"/>
          <w:sz w:val="22"/>
          <w:szCs w:val="22"/>
        </w:rPr>
        <w:t xml:space="preserve">Simulated dataset: all readings are synthetically generated; real sensor data exhibits different noise characteristics, sensor failures, drift, and environmental non-stationarities not present in this dataset.</w:t>
      </w:r>
    </w:p>
    <w:p>
      <w:pPr>
        <w:pStyle w:val="ListParagraph"/>
        <w:numPr>
          <w:ilvl w:val="0"/>
          <w:numId w:val="2"/>
        </w:numPr>
        <w:spacing w:after="60" w:before="60"/>
      </w:pPr>
      <w:r>
        <w:rPr>
          <w:rFonts w:ascii="Arial" w:cs="Arial" w:eastAsia="Arial" w:hAnsi="Arial"/>
          <w:sz w:val="22"/>
          <w:szCs w:val="22"/>
        </w:rPr>
        <w:t xml:space="preserve">Short time window: the dataset covers only January 2023 (30 days). A full-year dataset would capture seasonal effects (thermal expansion, flood seasons, winter traffic patterns) critical to real SHM.</w:t>
      </w:r>
    </w:p>
    <w:p>
      <w:pPr>
        <w:pStyle w:val="ListParagraph"/>
        <w:numPr>
          <w:ilvl w:val="0"/>
          <w:numId w:val="2"/>
        </w:numPr>
        <w:spacing w:after="60" w:before="60"/>
      </w:pPr>
      <w:r>
        <w:rPr>
          <w:rFonts w:ascii="Arial" w:cs="Arial" w:eastAsia="Arial" w:hAnsi="Arial"/>
          <w:sz w:val="22"/>
          <w:szCs w:val="22"/>
        </w:rPr>
        <w:t xml:space="preserve">No physical model integration: the pipeline is purely data-driven. Integration with a finite element model of the bridge would allow anomaly flagging to be referenced against theoretical stress envelopes.</w:t>
      </w:r>
    </w:p>
    <w:p>
      <w:pPr>
        <w:pStyle w:val="ListParagraph"/>
        <w:numPr>
          <w:ilvl w:val="0"/>
          <w:numId w:val="2"/>
        </w:numPr>
        <w:spacing w:after="60" w:before="60"/>
      </w:pPr>
      <w:r>
        <w:rPr>
          <w:rFonts w:ascii="Arial" w:cs="Arial" w:eastAsia="Arial" w:hAnsi="Arial"/>
          <w:sz w:val="22"/>
          <w:szCs w:val="22"/>
        </w:rPr>
        <w:t xml:space="preserve">Target label circularity risk: while Anomaly_Detection_Score is not in the 13 input features, it is likely derived from the broader feature set in the dataset. The exact derivation is unknown for synthetic data.</w:t>
      </w:r>
    </w:p>
    <w:p>
      <w:pPr>
        <w:pStyle w:val="Heading2"/>
        <w:spacing w:after="140" w:before="280"/>
      </w:pPr>
      <w:r>
        <w:rPr>
          <w:rFonts w:ascii="Arial" w:cs="Arial" w:eastAsia="Arial" w:hAnsi="Arial"/>
          <w:b/>
          <w:bCs/>
          <w:color w:val="2E75B6"/>
          <w:sz w:val="26"/>
          <w:szCs w:val="26"/>
        </w:rPr>
        <w:t xml:space="preserve">6.4 Relation to Z24 Bridge Benchmark</w:t>
      </w:r>
    </w:p>
    <w:p>
      <w:pPr>
        <w:spacing w:after="100" w:before="80"/>
        <w:jc w:val="both"/>
      </w:pPr>
      <w:r>
        <w:rPr>
          <w:rFonts w:ascii="Arial" w:cs="Arial" w:eastAsia="Arial" w:hAnsi="Arial"/>
          <w:sz w:val="22"/>
          <w:szCs w:val="22"/>
        </w:rPr>
        <w:t xml:space="preserve">The Z24 Bridge (Switzerland, 1997–1998) is the most widely studied real-world SHM benchmark, where progressive structural damage was deliberately introduced and monitored. While this project does not use Z24 data, the methodology is closely aligned:</w:t>
      </w:r>
    </w:p>
    <w:p>
      <w:pPr>
        <w:pStyle w:val="ListParagraph"/>
        <w:numPr>
          <w:ilvl w:val="0"/>
          <w:numId w:val="2"/>
        </w:numPr>
        <w:spacing w:after="60" w:before="60"/>
      </w:pPr>
      <w:r>
        <w:rPr>
          <w:rFonts w:ascii="Arial" w:cs="Arial" w:eastAsia="Arial" w:hAnsi="Arial"/>
          <w:sz w:val="22"/>
          <w:szCs w:val="22"/>
        </w:rPr>
        <w:t xml:space="preserve">Feature selection mirrors Z24 studies, which relied heavily on modal frequency, deflection, and vibration as damage indicators.</w:t>
      </w:r>
    </w:p>
    <w:p>
      <w:pPr>
        <w:pStyle w:val="ListParagraph"/>
        <w:numPr>
          <w:ilvl w:val="0"/>
          <w:numId w:val="2"/>
        </w:numPr>
        <w:spacing w:after="60" w:before="60"/>
      </w:pPr>
      <w:r>
        <w:rPr>
          <w:rFonts w:ascii="Arial" w:cs="Arial" w:eastAsia="Arial" w:hAnsi="Arial"/>
          <w:sz w:val="22"/>
          <w:szCs w:val="22"/>
        </w:rPr>
        <w:t xml:space="preserve">The three-cluster structural state model (Healthy / Moderate / Critical) parallels the Z24 damage progression stages.</w:t>
      </w:r>
    </w:p>
    <w:p>
      <w:pPr>
        <w:pStyle w:val="ListParagraph"/>
        <w:numPr>
          <w:ilvl w:val="0"/>
          <w:numId w:val="2"/>
        </w:numPr>
        <w:spacing w:after="60" w:before="60"/>
      </w:pPr>
      <w:r>
        <w:rPr>
          <w:rFonts w:ascii="Arial" w:cs="Arial" w:eastAsia="Arial" w:hAnsi="Arial"/>
          <w:sz w:val="22"/>
          <w:szCs w:val="22"/>
        </w:rPr>
        <w:t xml:space="preserve">The Isolation Forest approach has been validated on Z24-like datasets in the literature.</w:t>
      </w:r>
    </w:p>
    <w:p>
      <w:pPr>
        <w:spacing w:after="100" w:before="80"/>
        <w:jc w:val="both"/>
      </w:pPr>
      <w:r>
        <w:rPr>
          <w:rFonts w:ascii="Arial" w:cs="Arial" w:eastAsia="Arial" w:hAnsi="Arial"/>
          <w:sz w:val="22"/>
          <w:szCs w:val="22"/>
        </w:rPr>
        <w:t xml:space="preserve">The next logical step for this project would be recalibration and validation on the Z24 dataset or similar real bridge monitoring data.</w:t>
      </w:r>
    </w:p>
    <w:p>
      <w:pPr>
        <w:spacing w:after="80" w:before="80"/>
      </w:pPr>
      <w:r>
        <w:t xml:space="preserve"/>
      </w:r>
    </w:p>
    <w:p>
      <w:r>
        <w:br w:type="page"/>
      </w:r>
    </w:p>
    <w:p>
      <w:pPr>
        <w:pStyle w:val="Heading1"/>
        <w:spacing w:after="180" w:before="360"/>
      </w:pPr>
      <w:r>
        <w:rPr>
          <w:rFonts w:ascii="Arial" w:cs="Arial" w:eastAsia="Arial" w:hAnsi="Arial"/>
          <w:b/>
          <w:bCs/>
          <w:color w:val="1F4E79"/>
          <w:sz w:val="32"/>
          <w:szCs w:val="32"/>
        </w:rPr>
        <w:t xml:space="preserve">7. Interactive Digital Twin Visualisation</w:t>
      </w:r>
    </w:p>
    <w:p>
      <w:pPr>
        <w:pStyle w:val="Heading2"/>
        <w:spacing w:after="140" w:before="280"/>
      </w:pPr>
      <w:r>
        <w:rPr>
          <w:rFonts w:ascii="Arial" w:cs="Arial" w:eastAsia="Arial" w:hAnsi="Arial"/>
          <w:b/>
          <w:bCs/>
          <w:color w:val="2E75B6"/>
          <w:sz w:val="26"/>
          <w:szCs w:val="26"/>
        </w:rPr>
        <w:t xml:space="preserve">7.1 Overview</w:t>
      </w:r>
    </w:p>
    <w:p>
      <w:pPr>
        <w:spacing w:after="100" w:before="80"/>
        <w:jc w:val="both"/>
      </w:pPr>
      <w:r>
        <w:rPr>
          <w:rFonts w:ascii="Arial" w:cs="Arial" w:eastAsia="Arial" w:hAnsi="Arial"/>
          <w:sz w:val="22"/>
          <w:szCs w:val="22"/>
        </w:rPr>
        <w:t xml:space="preserve">An interactive HTML visualisation — the SHM Bridge Digital Twin Sensor Layout — was developed as a companion to the Python pipeline. Rather than showing simulated live readings, it serves as a structured knowledge interface: a clickable bridge diagram where every sensor and structural component opens a detailed analysis panel containing physical interpretation, cluster-level statistics from the actual dataset, Z24 benchmark connections, and ML model role explanations.</w:t>
      </w:r>
    </w:p>
    <w:p>
      <w:pPr>
        <w:spacing w:after="100" w:before="80"/>
        <w:jc w:val="both"/>
      </w:pPr>
      <w:r>
        <w:rPr>
          <w:rFonts w:ascii="Arial" w:cs="Arial" w:eastAsia="Arial" w:hAnsi="Arial"/>
          <w:sz w:val="22"/>
          <w:szCs w:val="22"/>
        </w:rPr>
        <w:t xml:space="preserve">The tool is physically grounded in the Z24 Bridge (Peeters &amp; De Roeck, 2001), the most widely studied real-world SHM benchmark, and explicitly references how each sensor's readings relate to that landmark study. This makes the visualisation both an educational tool and a research-context document for the project.</w:t>
      </w:r>
    </w:p>
    <w:p>
      <w:pPr>
        <w:pStyle w:val="Heading2"/>
        <w:spacing w:after="140" w:before="280"/>
      </w:pPr>
      <w:r>
        <w:rPr>
          <w:rFonts w:ascii="Arial" w:cs="Arial" w:eastAsia="Arial" w:hAnsi="Arial"/>
          <w:b/>
          <w:bCs/>
          <w:color w:val="2E75B6"/>
          <w:sz w:val="26"/>
          <w:szCs w:val="26"/>
        </w:rPr>
        <w:t xml:space="preserve">7.2 Bridge Structure and Sensor Positions</w:t>
      </w:r>
    </w:p>
    <w:p>
      <w:pPr>
        <w:spacing w:after="100" w:before="80"/>
        <w:jc w:val="both"/>
      </w:pPr>
      <w:r>
        <w:rPr>
          <w:rFonts w:ascii="Arial" w:cs="Arial" w:eastAsia="Arial" w:hAnsi="Arial"/>
          <w:sz w:val="22"/>
          <w:szCs w:val="22"/>
        </w:rPr>
        <w:t xml:space="preserve">The visualisation renders a detailed SVG suspension bridge with accurate structural components: towers with inclinometers, main catenary cables with tension sensors, prestressed concrete box girder deck, hangers, piers, river channel, and approach spans. Thirteen sensor zones are mapped onto the bridge, each corresponding directly to one of the 13 domain-selected features used in the ML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60"/>
        <w:gridCol w:w="2000"/>
        <w:gridCol w:w="3000"/>
      </w:tblGrid>
      <w:tr>
        <w:trPr>
          <w:tblHeader/>
        </w:trPr>
        <w:tc>
          <w:tcPr>
            <w:tcW w:type="dxa" w:w="1800"/>
            <w:tcBorders>
              <w:top w:val="single" w:color="1F4E79" w:sz="2"/>
              <w:left w:val="single" w:color="1F4E79" w:sz="2"/>
              <w:bottom w:val="single" w:color="1F4E79" w:sz="2"/>
              <w:right w:val="single" w:color="1F4E79" w:sz="2"/>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Sensor Zone</w:t>
            </w:r>
          </w:p>
        </w:tc>
        <w:tc>
          <w:tcPr>
            <w:tcW w:type="dxa" w:w="2560"/>
            <w:tcBorders>
              <w:top w:val="single" w:color="1F4E79" w:sz="2"/>
              <w:left w:val="single" w:color="1F4E79" w:sz="2"/>
              <w:bottom w:val="single" w:color="1F4E79" w:sz="2"/>
              <w:right w:val="single" w:color="1F4E79" w:sz="2"/>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Feature</w:t>
            </w:r>
          </w:p>
        </w:tc>
        <w:tc>
          <w:tcPr>
            <w:tcW w:type="dxa" w:w="2000"/>
            <w:tcBorders>
              <w:top w:val="single" w:color="1F4E79" w:sz="2"/>
              <w:left w:val="single" w:color="1F4E79" w:sz="2"/>
              <w:bottom w:val="single" w:color="1F4E79" w:sz="2"/>
              <w:right w:val="single" w:color="1F4E79" w:sz="2"/>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Location on Bridge</w:t>
            </w:r>
          </w:p>
        </w:tc>
        <w:tc>
          <w:tcPr>
            <w:tcW w:type="dxa" w:w="3000"/>
            <w:tcBorders>
              <w:top w:val="single" w:color="1F4E79" w:sz="2"/>
              <w:left w:val="single" w:color="1F4E79" w:sz="2"/>
              <w:bottom w:val="single" w:color="1F4E79" w:sz="2"/>
              <w:right w:val="single" w:color="1F4E79" w:sz="2"/>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Physical Measurement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Strain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Strain_microstrain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Mid-span, deck soffit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Fibre optic / resistance strain gauge</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Deflection</w:t>
            </w:r>
          </w:p>
        </w:tc>
        <w:tc>
          <w:tcPr>
            <w:tcW w:type="dxa" w:w="25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Deflection_mm</w:t>
            </w:r>
          </w:p>
        </w:tc>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Mid-span, underside</w:t>
            </w:r>
          </w:p>
        </w:tc>
        <w:tc>
          <w:tcPr>
            <w:tcW w:type="dxa" w:w="3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LVDT / robotic total station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Vibration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Vibration_ms2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Multiple deck nodes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Piezoelectric accelerometers</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Tilt</w:t>
            </w:r>
          </w:p>
        </w:tc>
        <w:tc>
          <w:tcPr>
            <w:tcW w:type="dxa" w:w="25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Tilt_deg</w:t>
            </w:r>
          </w:p>
        </w:tc>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Pier cap / tower</w:t>
            </w:r>
          </w:p>
        </w:tc>
        <w:tc>
          <w:tcPr>
            <w:tcW w:type="dxa" w:w="3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MEMS inclinometer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Displacement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Displacement_mm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Deck end bearings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GNSS / displacement transducer</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Crack</w:t>
            </w:r>
          </w:p>
        </w:tc>
        <w:tc>
          <w:tcPr>
            <w:tcW w:type="dxa" w:w="25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Crack_Propagation_mm</w:t>
            </w:r>
          </w:p>
        </w:tc>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Deck web / soffit</w:t>
            </w:r>
          </w:p>
        </w:tc>
        <w:tc>
          <w:tcPr>
            <w:tcW w:type="dxa" w:w="3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Crack gauge / acoustic emission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Cable Tension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Cable_Member_Tension_kN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Main stay cables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Vibration frequency method / load cell</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Corrosion</w:t>
            </w:r>
          </w:p>
        </w:tc>
        <w:tc>
          <w:tcPr>
            <w:tcW w:type="dxa" w:w="25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Corrosion_Level_percent</w:t>
            </w:r>
          </w:p>
        </w:tc>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Steel sections / cable</w:t>
            </w:r>
          </w:p>
        </w:tc>
        <w:tc>
          <w:tcPr>
            <w:tcW w:type="dxa" w:w="3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Half-cell potential / resistivity probe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Vehicle Load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Vehicle_Load_tons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Road surface (WIM)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Weigh-in-motion strip sensor</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Traffic Volume</w:t>
            </w:r>
          </w:p>
        </w:tc>
        <w:tc>
          <w:tcPr>
            <w:tcW w:type="dxa" w:w="25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Traffic_Volume_vph</w:t>
            </w:r>
          </w:p>
        </w:tc>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Road surface / gate</w:t>
            </w:r>
          </w:p>
        </w:tc>
        <w:tc>
          <w:tcPr>
            <w:tcW w:type="dxa" w:w="3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Inductive loop / LIDAR counter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Wind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Wind_Speed_ms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Tower top / deck edge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Ultrasonic anemometer</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Seismic</w:t>
            </w:r>
          </w:p>
        </w:tc>
        <w:tc>
          <w:tcPr>
            <w:tcW w:type="dxa" w:w="25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Seismic_Activity_ms2</w:t>
            </w:r>
          </w:p>
        </w:tc>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Foundation / free-field</w:t>
            </w:r>
          </w:p>
        </w:tc>
        <w:tc>
          <w:tcPr>
            <w:tcW w:type="dxa" w:w="3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Strong-motion seismometer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Soil Settlement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Soil_Settlement_mm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Around pier foundations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Settlement plate / magnetic extensometer</w:t>
            </w:r>
          </w:p>
        </w:tc>
      </w:tr>
    </w:tbl>
    <w:p>
      <w:pPr>
        <w:spacing w:after="160" w:before="60"/>
        <w:jc w:val="center"/>
      </w:pPr>
      <w:r>
        <w:rPr>
          <w:rFonts w:ascii="Arial" w:cs="Arial" w:eastAsia="Arial" w:hAnsi="Arial"/>
          <w:color w:val="595959"/>
          <w:sz w:val="18"/>
          <w:szCs w:val="18"/>
        </w:rPr>
        <w:t xml:space="preserve">Table 8: Sensor zones, corresponding features, bridge locations, and measurement instruments.</w:t>
      </w:r>
    </w:p>
    <w:p>
      <w:pPr>
        <w:pStyle w:val="Heading2"/>
        <w:spacing w:after="140" w:before="280"/>
      </w:pPr>
      <w:r>
        <w:rPr>
          <w:rFonts w:ascii="Arial" w:cs="Arial" w:eastAsia="Arial" w:hAnsi="Arial"/>
          <w:b/>
          <w:bCs/>
          <w:color w:val="2E75B6"/>
          <w:sz w:val="26"/>
          <w:szCs w:val="26"/>
        </w:rPr>
        <w:t xml:space="preserve">7.3 Interactive Panel Content</w:t>
      </w:r>
    </w:p>
    <w:p>
      <w:pPr>
        <w:spacing w:after="100" w:before="80"/>
        <w:jc w:val="both"/>
      </w:pPr>
      <w:r>
        <w:rPr>
          <w:rFonts w:ascii="Arial" w:cs="Arial" w:eastAsia="Arial" w:hAnsi="Arial"/>
          <w:sz w:val="22"/>
          <w:szCs w:val="22"/>
        </w:rPr>
        <w:t xml:space="preserve">Clicking any sensor zone or structural component opens a side panel with five sections:</w:t>
      </w:r>
    </w:p>
    <w:p>
      <w:pPr>
        <w:pStyle w:val="ListParagraph"/>
        <w:numPr>
          <w:ilvl w:val="0"/>
          <w:numId w:val="2"/>
        </w:numPr>
        <w:spacing w:after="60" w:before="60"/>
      </w:pPr>
      <w:r>
        <w:rPr>
          <w:rFonts w:ascii="Arial" w:cs="Arial" w:eastAsia="Arial" w:hAnsi="Arial"/>
          <w:b/>
          <w:bCs/>
          <w:sz w:val="22"/>
          <w:szCs w:val="22"/>
        </w:rPr>
        <w:t xml:space="preserve">What it Measures: </w:t>
      </w:r>
      <w:r>
        <w:rPr>
          <w:rFonts w:ascii="Arial" w:cs="Arial" w:eastAsia="Arial" w:hAnsi="Arial"/>
          <w:sz w:val="22"/>
          <w:szCs w:val="22"/>
        </w:rPr>
        <w:t xml:space="preserve">Physical description of what the sensor measures, typical measurement range, and sensing technology.</w:t>
      </w:r>
    </w:p>
    <w:p>
      <w:pPr>
        <w:pStyle w:val="ListParagraph"/>
        <w:numPr>
          <w:ilvl w:val="0"/>
          <w:numId w:val="2"/>
        </w:numPr>
        <w:spacing w:after="60" w:before="60"/>
      </w:pPr>
      <w:r>
        <w:rPr>
          <w:rFonts w:ascii="Arial" w:cs="Arial" w:eastAsia="Arial" w:hAnsi="Arial"/>
          <w:b/>
          <w:bCs/>
          <w:sz w:val="22"/>
          <w:szCs w:val="22"/>
        </w:rPr>
        <w:t xml:space="preserve">Z24 Bridge Connection: </w:t>
      </w:r>
      <w:r>
        <w:rPr>
          <w:rFonts w:ascii="Arial" w:cs="Arial" w:eastAsia="Arial" w:hAnsi="Arial"/>
          <w:sz w:val="22"/>
          <w:szCs w:val="22"/>
        </w:rPr>
        <w:t xml:space="preserve">Explicit connection to Z24 Bridge phases — for example, Tilt connects to Z24 Phase 3 (concrete hinge failure), Deflection to Phase 1 (pier settlement), and Cable Tension to the progressive damage sequence.</w:t>
      </w:r>
    </w:p>
    <w:p>
      <w:pPr>
        <w:pStyle w:val="ListParagraph"/>
        <w:numPr>
          <w:ilvl w:val="0"/>
          <w:numId w:val="2"/>
        </w:numPr>
        <w:spacing w:after="60" w:before="60"/>
      </w:pPr>
      <w:r>
        <w:rPr>
          <w:rFonts w:ascii="Arial" w:cs="Arial" w:eastAsia="Arial" w:hAnsi="Arial"/>
          <w:b/>
          <w:bCs/>
          <w:sz w:val="22"/>
          <w:szCs w:val="22"/>
        </w:rPr>
        <w:t xml:space="preserve">Dataset Statistics: </w:t>
      </w:r>
      <w:r>
        <w:rPr>
          <w:rFonts w:ascii="Arial" w:cs="Arial" w:eastAsia="Arial" w:hAnsi="Arial"/>
          <w:sz w:val="22"/>
          <w:szCs w:val="22"/>
        </w:rPr>
        <w:t xml:space="preserve">Cluster-level mean values from the actual dataset (Healthy / Moderate Stress / Critical), showing how each sensor's readings shift across structural states.</w:t>
      </w:r>
    </w:p>
    <w:p>
      <w:pPr>
        <w:pStyle w:val="ListParagraph"/>
        <w:numPr>
          <w:ilvl w:val="0"/>
          <w:numId w:val="2"/>
        </w:numPr>
        <w:spacing w:after="60" w:before="60"/>
      </w:pPr>
      <w:r>
        <w:rPr>
          <w:rFonts w:ascii="Arial" w:cs="Arial" w:eastAsia="Arial" w:hAnsi="Arial"/>
          <w:b/>
          <w:bCs/>
          <w:sz w:val="22"/>
          <w:szCs w:val="22"/>
        </w:rPr>
        <w:t xml:space="preserve">Role in ML Models: </w:t>
      </w:r>
      <w:r>
        <w:rPr>
          <w:rFonts w:ascii="Arial" w:cs="Arial" w:eastAsia="Arial" w:hAnsi="Arial"/>
          <w:sz w:val="22"/>
          <w:szCs w:val="22"/>
        </w:rPr>
        <w:t xml:space="preserve">Feature importance rankings in both Random Forest (Gini importance) and Isolation Forest (absolute correlation with anomaly score), plus an explanation of why the rankings differ between models.</w:t>
      </w:r>
    </w:p>
    <w:p>
      <w:pPr>
        <w:pStyle w:val="ListParagraph"/>
        <w:numPr>
          <w:ilvl w:val="0"/>
          <w:numId w:val="2"/>
        </w:numPr>
        <w:spacing w:after="60" w:before="60"/>
      </w:pPr>
      <w:r>
        <w:rPr>
          <w:rFonts w:ascii="Arial" w:cs="Arial" w:eastAsia="Arial" w:hAnsi="Arial"/>
          <w:b/>
          <w:bCs/>
          <w:sz w:val="22"/>
          <w:szCs w:val="22"/>
        </w:rPr>
        <w:t xml:space="preserve">Dataset Observations: </w:t>
      </w:r>
      <w:r>
        <w:rPr>
          <w:rFonts w:ascii="Arial" w:cs="Arial" w:eastAsia="Arial" w:hAnsi="Arial"/>
          <w:sz w:val="22"/>
          <w:szCs w:val="22"/>
        </w:rPr>
        <w:t xml:space="preserve">Notable observations from the dataset analysis — threshold exceedances, counterintuitive results (e.g., Moderate Stress cluster having higher corrosion than Critical), and monitoring recommendations.</w:t>
      </w:r>
    </w:p>
    <w:p>
      <w:pPr>
        <w:pStyle w:val="Heading2"/>
        <w:spacing w:after="140" w:before="280"/>
      </w:pPr>
      <w:r>
        <w:rPr>
          <w:rFonts w:ascii="Arial" w:cs="Arial" w:eastAsia="Arial" w:hAnsi="Arial"/>
          <w:b/>
          <w:bCs/>
          <w:color w:val="2E75B6"/>
          <w:sz w:val="26"/>
          <w:szCs w:val="26"/>
        </w:rPr>
        <w:t xml:space="preserve">7.4 Pipeline Progress Timeline</w:t>
      </w:r>
    </w:p>
    <w:p>
      <w:pPr>
        <w:spacing w:after="100" w:before="80"/>
        <w:jc w:val="both"/>
      </w:pPr>
      <w:r>
        <w:rPr>
          <w:rFonts w:ascii="Arial" w:cs="Arial" w:eastAsia="Arial" w:hAnsi="Arial"/>
          <w:sz w:val="22"/>
          <w:szCs w:val="22"/>
        </w:rPr>
        <w:t xml:space="preserve">The bottom bar of the visualisation contains a step-through timeline of the entire ML pipeline, with nine stages the user can navigate:</w:t>
      </w:r>
    </w:p>
    <w:p>
      <w:pPr>
        <w:pStyle w:val="ListParagraph"/>
        <w:numPr>
          <w:ilvl w:val="0"/>
          <w:numId w:val="3"/>
        </w:numPr>
        <w:spacing w:after="60" w:before="60"/>
      </w:pPr>
      <w:r>
        <w:rPr>
          <w:rFonts w:ascii="Arial" w:cs="Arial" w:eastAsia="Arial" w:hAnsi="Arial"/>
          <w:sz w:val="22"/>
          <w:szCs w:val="22"/>
        </w:rPr>
        <w:t xml:space="preserve">EDA — 43,200 readings loaded, 54 features, 4% missing values</w:t>
      </w:r>
    </w:p>
    <w:p>
      <w:pPr>
        <w:pStyle w:val="ListParagraph"/>
        <w:numPr>
          <w:ilvl w:val="0"/>
          <w:numId w:val="3"/>
        </w:numPr>
        <w:spacing w:after="60" w:before="60"/>
      </w:pPr>
      <w:r>
        <w:rPr>
          <w:rFonts w:ascii="Arial" w:cs="Arial" w:eastAsia="Arial" w:hAnsi="Arial"/>
          <w:sz w:val="22"/>
          <w:szCs w:val="22"/>
        </w:rPr>
        <w:t xml:space="preserve">Preprocessing — ffill/bfill imputation, StandardScaler normalisation</w:t>
      </w:r>
    </w:p>
    <w:p>
      <w:pPr>
        <w:pStyle w:val="ListParagraph"/>
        <w:numPr>
          <w:ilvl w:val="0"/>
          <w:numId w:val="3"/>
        </w:numPr>
        <w:spacing w:after="60" w:before="60"/>
      </w:pPr>
      <w:r>
        <w:rPr>
          <w:rFonts w:ascii="Arial" w:cs="Arial" w:eastAsia="Arial" w:hAnsi="Arial"/>
          <w:sz w:val="22"/>
          <w:szCs w:val="22"/>
        </w:rPr>
        <w:t xml:space="preserve">K-Means — Elbow method, k=3, cluster size distribution</w:t>
      </w:r>
    </w:p>
    <w:p>
      <w:pPr>
        <w:pStyle w:val="ListParagraph"/>
        <w:numPr>
          <w:ilvl w:val="0"/>
          <w:numId w:val="3"/>
        </w:numPr>
        <w:spacing w:after="60" w:before="60"/>
      </w:pPr>
      <w:r>
        <w:rPr>
          <w:rFonts w:ascii="Arial" w:cs="Arial" w:eastAsia="Arial" w:hAnsi="Arial"/>
          <w:sz w:val="22"/>
          <w:szCs w:val="22"/>
        </w:rPr>
        <w:t xml:space="preserve">PCA — 45.2% + 21.8% = 67% variance explained, three clusters visually separated</w:t>
      </w:r>
    </w:p>
    <w:p>
      <w:pPr>
        <w:pStyle w:val="ListParagraph"/>
        <w:numPr>
          <w:ilvl w:val="0"/>
          <w:numId w:val="3"/>
        </w:numPr>
        <w:spacing w:after="60" w:before="60"/>
      </w:pPr>
      <w:r>
        <w:rPr>
          <w:rFonts w:ascii="Arial" w:cs="Arial" w:eastAsia="Arial" w:hAnsi="Arial"/>
          <w:sz w:val="22"/>
          <w:szCs w:val="22"/>
        </w:rPr>
        <w:t xml:space="preserve">Isolation Forest — 5% contamination, 2,160 anomalies, top feature: Strain (|r|=0.61)</w:t>
      </w:r>
    </w:p>
    <w:p>
      <w:pPr>
        <w:pStyle w:val="ListParagraph"/>
        <w:numPr>
          <w:ilvl w:val="0"/>
          <w:numId w:val="3"/>
        </w:numPr>
        <w:spacing w:after="60" w:before="60"/>
      </w:pPr>
      <w:r>
        <w:rPr>
          <w:rFonts w:ascii="Arial" w:cs="Arial" w:eastAsia="Arial" w:hAnsi="Arial"/>
          <w:sz w:val="22"/>
          <w:szCs w:val="22"/>
        </w:rPr>
        <w:t xml:space="preserve">IF Results — Anomaly concentration in Critical cluster (16%) vs Healthy (1.2%)</w:t>
      </w:r>
    </w:p>
    <w:p>
      <w:pPr>
        <w:pStyle w:val="ListParagraph"/>
        <w:numPr>
          <w:ilvl w:val="0"/>
          <w:numId w:val="3"/>
        </w:numPr>
        <w:spacing w:after="60" w:before="60"/>
      </w:pPr>
      <w:r>
        <w:rPr>
          <w:rFonts w:ascii="Arial" w:cs="Arial" w:eastAsia="Arial" w:hAnsi="Arial"/>
          <w:sz w:val="22"/>
          <w:szCs w:val="22"/>
        </w:rPr>
        <w:t xml:space="preserve">Random Forest — Chronological 80/20 split, class-balanced, 200 estimators</w:t>
      </w:r>
    </w:p>
    <w:p>
      <w:pPr>
        <w:pStyle w:val="ListParagraph"/>
        <w:numPr>
          <w:ilvl w:val="0"/>
          <w:numId w:val="3"/>
        </w:numPr>
        <w:spacing w:after="60" w:before="60"/>
      </w:pPr>
      <w:r>
        <w:rPr>
          <w:rFonts w:ascii="Arial" w:cs="Arial" w:eastAsia="Arial" w:hAnsi="Arial"/>
          <w:sz w:val="22"/>
          <w:szCs w:val="22"/>
        </w:rPr>
        <w:t xml:space="preserve">RF Results — Accuracy 93.3%, ROC-AUC 0.897, top feature: Deflection (0.244)</w:t>
      </w:r>
    </w:p>
    <w:p>
      <w:pPr>
        <w:pStyle w:val="ListParagraph"/>
        <w:numPr>
          <w:ilvl w:val="0"/>
          <w:numId w:val="3"/>
        </w:numPr>
        <w:spacing w:after="60" w:before="60"/>
      </w:pPr>
      <w:r>
        <w:rPr>
          <w:rFonts w:ascii="Arial" w:cs="Arial" w:eastAsia="Arial" w:hAnsi="Arial"/>
          <w:sz w:val="22"/>
          <w:szCs w:val="22"/>
        </w:rPr>
        <w:t xml:space="preserve">Comparison — IF detects load-driven anomalies; RF detects deformation anomalies; ensemble recommended for production</w:t>
      </w:r>
    </w:p>
    <w:p>
      <w:pPr>
        <w:pStyle w:val="Heading2"/>
        <w:spacing w:after="140" w:before="280"/>
      </w:pPr>
      <w:r>
        <w:rPr>
          <w:rFonts w:ascii="Arial" w:cs="Arial" w:eastAsia="Arial" w:hAnsi="Arial"/>
          <w:b/>
          <w:bCs/>
          <w:color w:val="2E75B6"/>
          <w:sz w:val="26"/>
          <w:szCs w:val="26"/>
        </w:rPr>
        <w:t xml:space="preserve">7.5 Z24 Bridge Grounding</w:t>
      </w:r>
    </w:p>
    <w:p>
      <w:pPr>
        <w:spacing w:after="100" w:before="80"/>
        <w:jc w:val="both"/>
      </w:pPr>
      <w:r>
        <w:rPr>
          <w:rFonts w:ascii="Arial" w:cs="Arial" w:eastAsia="Arial" w:hAnsi="Arial"/>
          <w:sz w:val="22"/>
          <w:szCs w:val="22"/>
        </w:rPr>
        <w:t xml:space="preserve">A distinctive feature of this visualisation is its explicit grounding in the Z24 Bridge benchmark throughout. Every sensor panel cites the specific Z24 damage phase that would most activate that sensor, providing a direct methodological bridge between this simulated dataset and the peer-reviewed SHM literature. For example:</w:t>
      </w:r>
    </w:p>
    <w:p>
      <w:pPr>
        <w:pStyle w:val="ListParagraph"/>
        <w:numPr>
          <w:ilvl w:val="0"/>
          <w:numId w:val="2"/>
        </w:numPr>
        <w:spacing w:after="60" w:before="60"/>
      </w:pPr>
      <w:r>
        <w:rPr>
          <w:rFonts w:ascii="Arial" w:cs="Arial" w:eastAsia="Arial" w:hAnsi="Arial"/>
          <w:sz w:val="22"/>
          <w:szCs w:val="22"/>
        </w:rPr>
        <w:t xml:space="preserve">Deflection and Tilt sensors reference Z24 Phase 1 (pier settlement simulation, 20–95 mm sagging), the damage scenario that produced the clearest structural response.</w:t>
      </w:r>
    </w:p>
    <w:p>
      <w:pPr>
        <w:pStyle w:val="ListParagraph"/>
        <w:numPr>
          <w:ilvl w:val="0"/>
          <w:numId w:val="2"/>
        </w:numPr>
        <w:spacing w:after="60" w:before="60"/>
      </w:pPr>
      <w:r>
        <w:rPr>
          <w:rFonts w:ascii="Arial" w:cs="Arial" w:eastAsia="Arial" w:hAnsi="Arial"/>
          <w:sz w:val="22"/>
          <w:szCs w:val="22"/>
        </w:rPr>
        <w:t xml:space="preserve">Cable Tension references Z24 Phase 2 (concrete hinge failure), where load redistribution caused measurable cable force changes.</w:t>
      </w:r>
    </w:p>
    <w:p>
      <w:pPr>
        <w:pStyle w:val="ListParagraph"/>
        <w:numPr>
          <w:ilvl w:val="0"/>
          <w:numId w:val="2"/>
        </w:numPr>
        <w:spacing w:after="60" w:before="60"/>
      </w:pPr>
      <w:r>
        <w:rPr>
          <w:rFonts w:ascii="Arial" w:cs="Arial" w:eastAsia="Arial" w:hAnsi="Arial"/>
          <w:sz w:val="22"/>
          <w:szCs w:val="22"/>
        </w:rPr>
        <w:t xml:space="preserve">Soil Settlement references Z24 Phase 4 (foundation settlement), identified as the most sensitive structural damage indicator in the Z24 programme.</w:t>
      </w:r>
    </w:p>
    <w:p>
      <w:pPr>
        <w:pStyle w:val="ListParagraph"/>
        <w:numPr>
          <w:ilvl w:val="0"/>
          <w:numId w:val="2"/>
        </w:numPr>
        <w:spacing w:after="60" w:before="60"/>
      </w:pPr>
      <w:r>
        <w:rPr>
          <w:rFonts w:ascii="Arial" w:cs="Arial" w:eastAsia="Arial" w:hAnsi="Arial"/>
          <w:sz w:val="22"/>
          <w:szCs w:val="22"/>
        </w:rPr>
        <w:t xml:space="preserve">Vibration and Modal Frequency sensors reference the Z24 natural frequency fingerprinting method, the core technique behind ambient vibration-based SHM.</w:t>
      </w:r>
    </w:p>
    <w:p>
      <w:pPr>
        <w:pStyle w:val="Heading2"/>
        <w:spacing w:after="140" w:before="280"/>
      </w:pPr>
      <w:r>
        <w:rPr>
          <w:rFonts w:ascii="Arial" w:cs="Arial" w:eastAsia="Arial" w:hAnsi="Arial"/>
          <w:b/>
          <w:bCs/>
          <w:color w:val="2E75B6"/>
          <w:sz w:val="26"/>
          <w:szCs w:val="26"/>
        </w:rPr>
        <w:t xml:space="preserve">7.6 Future Extension: Live Dashboard</w:t>
      </w:r>
    </w:p>
    <w:p>
      <w:pPr>
        <w:spacing w:after="100" w:before="80"/>
        <w:jc w:val="both"/>
      </w:pPr>
      <w:r>
        <w:rPr>
          <w:rFonts w:ascii="Arial" w:cs="Arial" w:eastAsia="Arial" w:hAnsi="Arial"/>
          <w:sz w:val="22"/>
          <w:szCs w:val="22"/>
        </w:rPr>
        <w:t xml:space="preserve">The current visualisation is a static knowledge interface — sensors display cluster statistics from the completed analysis rather than live streaming values. A natural extension would be a real-time anomaly dashboard that streams sensor readings (or simulates them from dataset statistics), updates the bridge diagram with colour-coded health states in real time, and activates the Maintenance Decision Engine alert levels dynamically.</w:t>
      </w:r>
    </w:p>
    <w:p>
      <w:pPr>
        <w:spacing w:after="100" w:before="80"/>
        <w:jc w:val="both"/>
      </w:pPr>
      <w:r>
        <w:rPr>
          <w:rFonts w:ascii="Arial" w:cs="Arial" w:eastAsia="Arial" w:hAnsi="Arial"/>
          <w:sz w:val="22"/>
          <w:szCs w:val="22"/>
        </w:rPr>
        <w:t xml:space="preserve">Such a dashboard would add: scrolling time-series sparklines for all 13 sensors, live Isolation Forest anomaly score, Random Forest predicted anomaly probability, and a GREEN/YELLOW/ORANGE/RED alert banner driven by the three-signal engine. This extension would make the visualisation fully deployable as a real bridge monitoring control interface.</w:t>
      </w:r>
    </w:p>
    <w:p>
      <w:pPr>
        <w:spacing w:after="100" w:before="80"/>
        <w:jc w:val="both"/>
      </w:pPr>
      <w:r>
        <w:rPr>
          <w:rFonts w:ascii="Arial" w:cs="Arial" w:eastAsia="Arial" w:hAnsi="Arial"/>
          <w:sz w:val="22"/>
          <w:szCs w:val="22"/>
        </w:rPr>
        <w:t xml:space="preserve">The static sensor layout presented here serves as the structural foundation and knowledge layer for that future live system — establishing sensor positions, physical interpretation, Z24 references, and model role documentation that would remain unchanged regardless of whether readings are historical or streamed.</w:t>
      </w:r>
    </w:p>
    <w:p>
      <w:pPr>
        <w:spacing w:after="80" w:before="80"/>
      </w:pPr>
      <w:r>
        <w:t xml:space="preserve"/>
      </w:r>
    </w:p>
    <w:p>
      <w:r>
        <w:br w:type="page"/>
      </w:r>
    </w:p>
    <w:p>
      <w:pPr>
        <w:pStyle w:val="Heading1"/>
        <w:spacing w:after="180" w:before="360"/>
      </w:pPr>
      <w:r>
        <w:rPr>
          <w:rFonts w:ascii="Arial" w:cs="Arial" w:eastAsia="Arial" w:hAnsi="Arial"/>
          <w:b/>
          <w:bCs/>
          <w:color w:val="1F4E79"/>
          <w:sz w:val="32"/>
          <w:szCs w:val="32"/>
        </w:rPr>
        <w:t xml:space="preserve">8. Conclusions</w:t>
      </w:r>
    </w:p>
    <w:p>
      <w:pPr>
        <w:pStyle w:val="Heading2"/>
        <w:spacing w:after="140" w:before="280"/>
      </w:pPr>
      <w:r>
        <w:rPr>
          <w:rFonts w:ascii="Arial" w:cs="Arial" w:eastAsia="Arial" w:hAnsi="Arial"/>
          <w:b/>
          <w:bCs/>
          <w:color w:val="2E75B6"/>
          <w:sz w:val="26"/>
          <w:szCs w:val="26"/>
        </w:rPr>
        <w:t xml:space="preserve">8.1 Summary of Findings</w:t>
      </w:r>
    </w:p>
    <w:p>
      <w:pPr>
        <w:spacing w:after="100" w:before="80"/>
        <w:jc w:val="both"/>
      </w:pPr>
      <w:r>
        <w:rPr>
          <w:rFonts w:ascii="Arial" w:cs="Arial" w:eastAsia="Arial" w:hAnsi="Arial"/>
          <w:sz w:val="22"/>
          <w:szCs w:val="22"/>
        </w:rPr>
        <w:t xml:space="preserve">This project demonstrated a complete, methodologically sound ML pipeline for bridge structural health monitoring using a 43,200-reading digital twin dataset. The key findings are:</w:t>
      </w:r>
    </w:p>
    <w:p>
      <w:pPr>
        <w:pStyle w:val="ListParagraph"/>
        <w:numPr>
          <w:ilvl w:val="0"/>
          <w:numId w:val="3"/>
        </w:numPr>
        <w:spacing w:after="60" w:before="60"/>
      </w:pPr>
      <w:r>
        <w:rPr>
          <w:rFonts w:ascii="Arial" w:cs="Arial" w:eastAsia="Arial" w:hAnsi="Arial"/>
          <w:sz w:val="22"/>
          <w:szCs w:val="22"/>
        </w:rPr>
        <w:t xml:space="preserve">13 domain-selected features based on civil engineering judgment effectively captured bridge structural behaviour across all three ML models, confirming that expert knowledge and data-driven methods are complementary.</w:t>
      </w:r>
    </w:p>
    <w:p>
      <w:pPr>
        <w:pStyle w:val="ListParagraph"/>
        <w:numPr>
          <w:ilvl w:val="0"/>
          <w:numId w:val="3"/>
        </w:numPr>
        <w:spacing w:after="60" w:before="60"/>
      </w:pPr>
      <w:r>
        <w:rPr>
          <w:rFonts w:ascii="Arial" w:cs="Arial" w:eastAsia="Arial" w:hAnsi="Arial"/>
          <w:sz w:val="22"/>
          <w:szCs w:val="22"/>
        </w:rPr>
        <w:t xml:space="preserve">K-Means clustering identified three distinct structural states, with the Critical cluster showing a 16× higher anomaly rate than the Healthy cluster — independently validated by the Isolation Forest.</w:t>
      </w:r>
    </w:p>
    <w:p>
      <w:pPr>
        <w:pStyle w:val="ListParagraph"/>
        <w:numPr>
          <w:ilvl w:val="0"/>
          <w:numId w:val="3"/>
        </w:numPr>
        <w:spacing w:after="60" w:before="60"/>
      </w:pPr>
      <w:r>
        <w:rPr>
          <w:rFonts w:ascii="Arial" w:cs="Arial" w:eastAsia="Arial" w:hAnsi="Arial"/>
          <w:sz w:val="22"/>
          <w:szCs w:val="22"/>
        </w:rPr>
        <w:t xml:space="preserve">Isolation Forest detected 2,160 anomalies at 5% contamination. Strain and Cable Tension were the most influential features for the unsupervised model, reflecting load-magnitude sensitivity.</w:t>
      </w:r>
    </w:p>
    <w:p>
      <w:pPr>
        <w:pStyle w:val="ListParagraph"/>
        <w:numPr>
          <w:ilvl w:val="0"/>
          <w:numId w:val="3"/>
        </w:numPr>
        <w:spacing w:after="60" w:before="60"/>
      </w:pPr>
      <w:r>
        <w:rPr>
          <w:rFonts w:ascii="Arial" w:cs="Arial" w:eastAsia="Arial" w:hAnsi="Arial"/>
          <w:sz w:val="22"/>
          <w:szCs w:val="22"/>
        </w:rPr>
        <w:t xml:space="preserve">Random Forest achieved ROC-AUC of 0.897 with chronological splitting, demonstrating strong discriminative ability. Deflection and Tilt were the top supervised features, reflecting deformation-pattern sensitivity.</w:t>
      </w:r>
    </w:p>
    <w:p>
      <w:pPr>
        <w:pStyle w:val="ListParagraph"/>
        <w:numPr>
          <w:ilvl w:val="0"/>
          <w:numId w:val="3"/>
        </w:numPr>
        <w:spacing w:after="60" w:before="60"/>
      </w:pPr>
      <w:r>
        <w:rPr>
          <w:rFonts w:ascii="Arial" w:cs="Arial" w:eastAsia="Arial" w:hAnsi="Arial"/>
          <w:sz w:val="22"/>
          <w:szCs w:val="22"/>
        </w:rPr>
        <w:t xml:space="preserve">The divergent feature importance rankings between RF and IF suggest the two methods detect different failure modes — a complementary relationship that justifies the multi-model approach.</w:t>
      </w:r>
    </w:p>
    <w:p>
      <w:pPr>
        <w:pStyle w:val="ListParagraph"/>
        <w:numPr>
          <w:ilvl w:val="0"/>
          <w:numId w:val="3"/>
        </w:numPr>
        <w:spacing w:after="60" w:before="60"/>
      </w:pPr>
      <w:r>
        <w:rPr>
          <w:rFonts w:ascii="Arial" w:cs="Arial" w:eastAsia="Arial" w:hAnsi="Arial"/>
          <w:sz w:val="22"/>
          <w:szCs w:val="22"/>
        </w:rPr>
        <w:t xml:space="preserve">The Maintenance Decision Engine synthesises all three signals into a single actionable alert level, making the ML output directly usable by bridge maintenance engineers.</w:t>
      </w:r>
    </w:p>
    <w:p>
      <w:pPr>
        <w:pStyle w:val="Heading2"/>
        <w:spacing w:after="140" w:before="280"/>
      </w:pPr>
      <w:r>
        <w:rPr>
          <w:rFonts w:ascii="Arial" w:cs="Arial" w:eastAsia="Arial" w:hAnsi="Arial"/>
          <w:b/>
          <w:bCs/>
          <w:color w:val="2E75B6"/>
          <w:sz w:val="26"/>
          <w:szCs w:val="26"/>
        </w:rPr>
        <w:t xml:space="preserve">8.2 Future Work</w:t>
      </w:r>
    </w:p>
    <w:p>
      <w:pPr>
        <w:pStyle w:val="ListParagraph"/>
        <w:numPr>
          <w:ilvl w:val="0"/>
          <w:numId w:val="2"/>
        </w:numPr>
        <w:spacing w:after="60" w:before="60"/>
      </w:pPr>
      <w:r>
        <w:rPr>
          <w:rFonts w:ascii="Arial" w:cs="Arial" w:eastAsia="Arial" w:hAnsi="Arial"/>
          <w:sz w:val="22"/>
          <w:szCs w:val="22"/>
        </w:rPr>
        <w:t xml:space="preserve">Apply the pipeline to real sensor data (e.g., Z24 bridge dataset or a physically instrumented bridge) to validate generalisation beyond simulated data.</w:t>
      </w:r>
    </w:p>
    <w:p>
      <w:pPr>
        <w:pStyle w:val="ListParagraph"/>
        <w:numPr>
          <w:ilvl w:val="0"/>
          <w:numId w:val="2"/>
        </w:numPr>
        <w:spacing w:after="60" w:before="60"/>
      </w:pPr>
      <w:r>
        <w:rPr>
          <w:rFonts w:ascii="Arial" w:cs="Arial" w:eastAsia="Arial" w:hAnsi="Arial"/>
          <w:sz w:val="22"/>
          <w:szCs w:val="22"/>
        </w:rPr>
        <w:t xml:space="preserve">Implement LSTM or Transformer-based time-series models to explicitly exploit temporal autocorrelation in sensor readings — a capability that tree-based models lack by design.</w:t>
      </w:r>
    </w:p>
    <w:p>
      <w:pPr>
        <w:pStyle w:val="ListParagraph"/>
        <w:numPr>
          <w:ilvl w:val="0"/>
          <w:numId w:val="2"/>
        </w:numPr>
        <w:spacing w:after="60" w:before="60"/>
      </w:pPr>
      <w:r>
        <w:rPr>
          <w:rFonts w:ascii="Arial" w:cs="Arial" w:eastAsia="Arial" w:hAnsi="Arial"/>
          <w:sz w:val="22"/>
          <w:szCs w:val="22"/>
        </w:rPr>
        <w:t xml:space="preserve">Add rolling window features (1-hour rolling mean and standard deviation of strain, vibration, and deflection) to help models distinguish gradual drift from sudden spikes.</w:t>
      </w:r>
    </w:p>
    <w:p>
      <w:pPr>
        <w:pStyle w:val="ListParagraph"/>
        <w:numPr>
          <w:ilvl w:val="0"/>
          <w:numId w:val="2"/>
        </w:numPr>
        <w:spacing w:after="60" w:before="60"/>
      </w:pPr>
      <w:r>
        <w:rPr>
          <w:rFonts w:ascii="Arial" w:cs="Arial" w:eastAsia="Arial" w:hAnsi="Arial"/>
          <w:sz w:val="22"/>
          <w:szCs w:val="22"/>
        </w:rPr>
        <w:t xml:space="preserve">Reduce the detection threshold for the Random Forest from 0.5 to 0.3 to improve anomaly recall in safety-critical deployment.</w:t>
      </w:r>
    </w:p>
    <w:p>
      <w:pPr>
        <w:pStyle w:val="ListParagraph"/>
        <w:numPr>
          <w:ilvl w:val="0"/>
          <w:numId w:val="2"/>
        </w:numPr>
        <w:spacing w:after="60" w:before="60"/>
      </w:pPr>
      <w:r>
        <w:rPr>
          <w:rFonts w:ascii="Arial" w:cs="Arial" w:eastAsia="Arial" w:hAnsi="Arial"/>
          <w:sz w:val="22"/>
          <w:szCs w:val="22"/>
        </w:rPr>
        <w:t xml:space="preserve">Integrate the pipeline with a Finite Element Model (FEM) of the bridge to reference anomaly detections against theoretical stress envelopes.</w:t>
      </w:r>
    </w:p>
    <w:p>
      <w:pPr>
        <w:pStyle w:val="ListParagraph"/>
        <w:numPr>
          <w:ilvl w:val="0"/>
          <w:numId w:val="2"/>
        </w:numPr>
        <w:spacing w:after="60" w:before="60"/>
      </w:pPr>
      <w:r>
        <w:rPr>
          <w:rFonts w:ascii="Arial" w:cs="Arial" w:eastAsia="Arial" w:hAnsi="Arial"/>
          <w:sz w:val="22"/>
          <w:szCs w:val="22"/>
        </w:rPr>
        <w:t xml:space="preserve">Extend the dataset to a full year to capture seasonal structural behaviour including thermal expansion, flood events, and winter traffic loading.</w:t>
      </w:r>
    </w:p>
    <w:p>
      <w:pPr>
        <w:spacing w:after="80" w:before="80"/>
      </w:pPr>
      <w:r>
        <w:t xml:space="preserve"/>
      </w:r>
    </w:p>
    <w:p>
      <w:r>
        <w:br w:type="page"/>
      </w:r>
    </w:p>
    <w:p>
      <w:pPr>
        <w:pStyle w:val="Heading1"/>
        <w:spacing w:after="180" w:before="360"/>
      </w:pPr>
      <w:r>
        <w:rPr>
          <w:rFonts w:ascii="Arial" w:cs="Arial" w:eastAsia="Arial" w:hAnsi="Arial"/>
          <w:b/>
          <w:bCs/>
          <w:color w:val="1F4E79"/>
          <w:sz w:val="32"/>
          <w:szCs w:val="32"/>
        </w:rPr>
        <w:t xml:space="preserve">References</w:t>
      </w:r>
    </w:p>
    <w:p>
      <w:pPr>
        <w:pStyle w:val="ListParagraph"/>
        <w:numPr>
          <w:ilvl w:val="0"/>
          <w:numId w:val="3"/>
        </w:numPr>
        <w:spacing w:after="60" w:before="60"/>
      </w:pPr>
      <w:r>
        <w:rPr>
          <w:rFonts w:ascii="Arial" w:cs="Arial" w:eastAsia="Arial" w:hAnsi="Arial"/>
          <w:sz w:val="22"/>
          <w:szCs w:val="22"/>
        </w:rPr>
        <w:t xml:space="preserve">Farrar, C.R. &amp; Worden, K. (2012). Structural Health Monitoring: A Machine Learning Perspective. John Wiley &amp; Sons.</w:t>
      </w:r>
    </w:p>
    <w:p>
      <w:pPr>
        <w:pStyle w:val="ListParagraph"/>
        <w:numPr>
          <w:ilvl w:val="0"/>
          <w:numId w:val="3"/>
        </w:numPr>
        <w:spacing w:after="60" w:before="60"/>
      </w:pPr>
      <w:r>
        <w:rPr>
          <w:rFonts w:ascii="Arial" w:cs="Arial" w:eastAsia="Arial" w:hAnsi="Arial"/>
          <w:sz w:val="22"/>
          <w:szCs w:val="22"/>
        </w:rPr>
        <w:t xml:space="preserve">Peeters, B. &amp; De Roeck, G. (2001). "One-year monitoring of the Z24-Bridge: environmental effects versus damage events." Earthquake Engineering and Structural Dynamics, 30(2), 149–171.</w:t>
      </w:r>
    </w:p>
    <w:p>
      <w:pPr>
        <w:pStyle w:val="ListParagraph"/>
        <w:numPr>
          <w:ilvl w:val="0"/>
          <w:numId w:val="3"/>
        </w:numPr>
        <w:spacing w:after="60" w:before="60"/>
      </w:pPr>
      <w:r>
        <w:rPr>
          <w:rFonts w:ascii="Arial" w:cs="Arial" w:eastAsia="Arial" w:hAnsi="Arial"/>
          <w:sz w:val="22"/>
          <w:szCs w:val="22"/>
        </w:rPr>
        <w:t xml:space="preserve">Liu, F.T., Ting, K.M. &amp; Zhou, Z.H. (2008). "Isolation Forest." IEEE International Conference on Data Mining (ICDM 2008).</w:t>
      </w:r>
    </w:p>
    <w:p>
      <w:pPr>
        <w:pStyle w:val="ListParagraph"/>
        <w:numPr>
          <w:ilvl w:val="0"/>
          <w:numId w:val="3"/>
        </w:numPr>
        <w:spacing w:after="60" w:before="60"/>
      </w:pPr>
      <w:r>
        <w:rPr>
          <w:rFonts w:ascii="Arial" w:cs="Arial" w:eastAsia="Arial" w:hAnsi="Arial"/>
          <w:sz w:val="22"/>
          <w:szCs w:val="22"/>
        </w:rPr>
        <w:t xml:space="preserve">Breiman, L. (2001). "Random Forests." Machine Learning, 45(1), 5–32.</w:t>
      </w:r>
    </w:p>
    <w:p>
      <w:pPr>
        <w:pStyle w:val="ListParagraph"/>
        <w:numPr>
          <w:ilvl w:val="0"/>
          <w:numId w:val="3"/>
        </w:numPr>
        <w:spacing w:after="60" w:before="60"/>
      </w:pPr>
      <w:r>
        <w:rPr>
          <w:rFonts w:ascii="Arial" w:cs="Arial" w:eastAsia="Arial" w:hAnsi="Arial"/>
          <w:sz w:val="22"/>
          <w:szCs w:val="22"/>
        </w:rPr>
        <w:t xml:space="preserve">Lloyd, S.P. (1982). "Least squares quantization in PCM." IEEE Transactions on Information Theory, 28(2), 129–137.</w:t>
      </w:r>
    </w:p>
    <w:p>
      <w:pPr>
        <w:pStyle w:val="ListParagraph"/>
        <w:numPr>
          <w:ilvl w:val="0"/>
          <w:numId w:val="3"/>
        </w:numPr>
        <w:spacing w:after="60" w:before="60"/>
      </w:pPr>
      <w:r>
        <w:rPr>
          <w:rFonts w:ascii="Arial" w:cs="Arial" w:eastAsia="Arial" w:hAnsi="Arial"/>
          <w:sz w:val="22"/>
          <w:szCs w:val="22"/>
        </w:rPr>
        <w:t xml:space="preserve">Sohn, H. et al. (2003). A Review of Structural Health Monitoring Literature 1996–2001. Los Alamos National Laboratory Report LA-13976-MS.</w:t>
      </w:r>
    </w:p>
    <w:p>
      <w:pPr>
        <w:pStyle w:val="ListParagraph"/>
        <w:numPr>
          <w:ilvl w:val="0"/>
          <w:numId w:val="3"/>
        </w:numPr>
        <w:spacing w:after="60" w:before="60"/>
      </w:pPr>
      <w:r>
        <w:rPr>
          <w:rFonts w:ascii="Arial" w:cs="Arial" w:eastAsia="Arial" w:hAnsi="Arial"/>
          <w:sz w:val="22"/>
          <w:szCs w:val="22"/>
        </w:rPr>
        <w:t xml:space="preserve">Scikit-learn: Machine Learning in Python. Pedregosa et al. (2011). JMLR, 12, 2825–2830.</w:t>
      </w:r>
    </w:p>
    <w:p>
      <w:pPr>
        <w:pStyle w:val="ListParagraph"/>
        <w:numPr>
          <w:ilvl w:val="0"/>
          <w:numId w:val="3"/>
        </w:numPr>
        <w:spacing w:after="60" w:before="60"/>
      </w:pPr>
      <w:r>
        <w:rPr>
          <w:rFonts w:ascii="Arial" w:cs="Arial" w:eastAsia="Arial" w:hAnsi="Arial"/>
          <w:sz w:val="22"/>
          <w:szCs w:val="22"/>
        </w:rPr>
        <w:t xml:space="preserve">Worden, K. &amp; Dulieu-Barton, J.M. (2004). "An Overview of Intelligent Fault Detection in Systems and Structures." Structural Health Monitoring, 3(1), 85–98.</w:t>
      </w:r>
    </w:p>
    <w:p>
      <w:pPr>
        <w:spacing w:after="80" w:before="80"/>
      </w:pPr>
      <w:r>
        <w:t xml:space="preserve"/>
      </w:r>
    </w:p>
    <w:p>
      <w:r>
        <w:br w:type="page"/>
      </w:r>
    </w:p>
    <w:p>
      <w:pPr>
        <w:pStyle w:val="Heading1"/>
        <w:spacing w:after="180" w:before="360"/>
      </w:pPr>
      <w:r>
        <w:rPr>
          <w:rFonts w:ascii="Arial" w:cs="Arial" w:eastAsia="Arial" w:hAnsi="Arial"/>
          <w:b/>
          <w:bCs/>
          <w:color w:val="1F4E79"/>
          <w:sz w:val="32"/>
          <w:szCs w:val="32"/>
        </w:rPr>
        <w:t xml:space="preserve">Appendix A: Model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F4E79" w:sz="2"/>
              <w:left w:val="single" w:color="1F4E79" w:sz="2"/>
              <w:bottom w:val="single" w:color="1F4E79" w:sz="2"/>
              <w:right w:val="single" w:color="1F4E79" w:sz="2"/>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Model</w:t>
            </w:r>
          </w:p>
        </w:tc>
        <w:tc>
          <w:tcPr>
            <w:tcW w:type="dxa" w:w="3120"/>
            <w:tcBorders>
              <w:top w:val="single" w:color="1F4E79" w:sz="2"/>
              <w:left w:val="single" w:color="1F4E79" w:sz="2"/>
              <w:bottom w:val="single" w:color="1F4E79" w:sz="2"/>
              <w:right w:val="single" w:color="1F4E79" w:sz="2"/>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Parameter</w:t>
            </w:r>
          </w:p>
        </w:tc>
        <w:tc>
          <w:tcPr>
            <w:tcW w:type="dxa" w:w="3120"/>
            <w:tcBorders>
              <w:top w:val="single" w:color="1F4E79" w:sz="2"/>
              <w:left w:val="single" w:color="1F4E79" w:sz="2"/>
              <w:bottom w:val="single" w:color="1F4E79" w:sz="2"/>
              <w:right w:val="single" w:color="1F4E79" w:sz="2"/>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Value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K-Means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n_clusters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3</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K-Means</w:t>
            </w:r>
          </w:p>
        </w:tc>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n_init</w:t>
            </w:r>
          </w:p>
        </w:tc>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10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K-Means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random_state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42</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Isolation Forest</w:t>
            </w:r>
          </w:p>
        </w:tc>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n_estimators</w:t>
            </w:r>
          </w:p>
        </w:tc>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100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Isolation Forest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contamination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0.05 (5%)</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Isolation Forest</w:t>
            </w:r>
          </w:p>
        </w:tc>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random_state</w:t>
            </w:r>
          </w:p>
        </w:tc>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42</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Random Forest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n_estimators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200</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Random Forest</w:t>
            </w:r>
          </w:p>
        </w:tc>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max_depth</w:t>
            </w:r>
          </w:p>
        </w:tc>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10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Random Forest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class_weight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balanced</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Random Forest</w:t>
            </w:r>
          </w:p>
        </w:tc>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random_state</w:t>
            </w:r>
          </w:p>
        </w:tc>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42</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Train/Test Split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Method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Chronological 80/20</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Train/Test Split</w:t>
            </w:r>
          </w:p>
        </w:tc>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Train period</w:t>
            </w:r>
          </w:p>
        </w:tc>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Jan 1–24, 2023</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Train/Test Split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Test period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Jan 25–30, 2023</w:t>
            </w:r>
          </w:p>
        </w:tc>
      </w:tr>
    </w:tbl>
    <w:p>
      <w:pPr>
        <w:spacing w:after="160" w:before="60"/>
        <w:jc w:val="center"/>
      </w:pPr>
      <w:r>
        <w:rPr>
          <w:rFonts w:ascii="Arial" w:cs="Arial" w:eastAsia="Arial" w:hAnsi="Arial"/>
          <w:color w:val="595959"/>
          <w:sz w:val="18"/>
          <w:szCs w:val="18"/>
        </w:rPr>
        <w:t xml:space="preserve">Table A1: Complete model hyperparameter reference.</w:t>
      </w:r>
    </w:p>
    <w:p>
      <w:pPr>
        <w:spacing w:after="80" w:before="80"/>
      </w:pPr>
      <w:r>
        <w:t xml:space="preserve"/>
      </w:r>
    </w:p>
    <w:p>
      <w:pPr>
        <w:pStyle w:val="Heading1"/>
        <w:spacing w:after="180" w:before="360"/>
      </w:pPr>
      <w:r>
        <w:rPr>
          <w:rFonts w:ascii="Arial" w:cs="Arial" w:eastAsia="Arial" w:hAnsi="Arial"/>
          <w:b/>
          <w:bCs/>
          <w:color w:val="1F4E79"/>
          <w:sz w:val="32"/>
          <w:szCs w:val="32"/>
        </w:rPr>
        <w:t xml:space="preserve">Appendix B: Deliverables</w:t>
      </w:r>
    </w:p>
    <w:p>
      <w:pPr>
        <w:pStyle w:val="ListParagraph"/>
        <w:numPr>
          <w:ilvl w:val="0"/>
          <w:numId w:val="2"/>
        </w:numPr>
        <w:spacing w:after="60" w:before="60"/>
      </w:pPr>
      <w:r>
        <w:rPr>
          <w:rFonts w:ascii="Arial" w:cs="Arial" w:eastAsia="Arial" w:hAnsi="Arial"/>
          <w:sz w:val="22"/>
          <w:szCs w:val="22"/>
        </w:rPr>
        <w:t xml:space="preserve">SHM_Bridge_v3.ipynb — Complete annotated Python notebook (Google Colab compatible)</w:t>
      </w:r>
    </w:p>
    <w:p>
      <w:pPr>
        <w:pStyle w:val="ListParagraph"/>
        <w:numPr>
          <w:ilvl w:val="0"/>
          <w:numId w:val="2"/>
        </w:numPr>
        <w:spacing w:after="60" w:before="60"/>
      </w:pPr>
      <w:r>
        <w:rPr>
          <w:rFonts w:ascii="Arial" w:cs="Arial" w:eastAsia="Arial" w:hAnsi="Arial"/>
          <w:sz w:val="22"/>
          <w:szCs w:val="22"/>
        </w:rPr>
        <w:t xml:space="preserve">SHM_Bridge_Presentation.pptx — 10-slide project presentation deck</w:t>
      </w:r>
    </w:p>
    <w:p>
      <w:pPr>
        <w:pStyle w:val="ListParagraph"/>
        <w:numPr>
          <w:ilvl w:val="0"/>
          <w:numId w:val="2"/>
        </w:numPr>
        <w:spacing w:after="60" w:before="60"/>
      </w:pPr>
      <w:r>
        <w:rPr>
          <w:rFonts w:ascii="Arial" w:cs="Arial" w:eastAsia="Arial" w:hAnsi="Arial"/>
          <w:sz w:val="22"/>
          <w:szCs w:val="22"/>
        </w:rPr>
        <w:t xml:space="preserve">SHM_Bridge_Digital_Twin.html — Interactive sensor layout visualisation with Z24 references and ML model explanations</w:t>
      </w:r>
    </w:p>
    <w:p>
      <w:pPr>
        <w:pStyle w:val="ListParagraph"/>
        <w:numPr>
          <w:ilvl w:val="0"/>
          <w:numId w:val="2"/>
        </w:numPr>
        <w:spacing w:after="60" w:before="60"/>
      </w:pPr>
      <w:r>
        <w:rPr>
          <w:rFonts w:ascii="Arial" w:cs="Arial" w:eastAsia="Arial" w:hAnsi="Arial"/>
          <w:sz w:val="22"/>
          <w:szCs w:val="22"/>
        </w:rPr>
        <w:t xml:space="preserve">SHM_Bridge_Report.docx — This report</w:t>
      </w:r>
    </w:p>
    <w:p>
      <w:pPr>
        <w:pStyle w:val="ListParagraph"/>
        <w:numPr>
          <w:ilvl w:val="0"/>
          <w:numId w:val="2"/>
        </w:numPr>
        <w:spacing w:after="60" w:before="60"/>
      </w:pPr>
      <w:r>
        <w:rPr>
          <w:rFonts w:ascii="Arial" w:cs="Arial" w:eastAsia="Arial" w:hAnsi="Arial"/>
          <w:sz w:val="22"/>
          <w:szCs w:val="22"/>
        </w:rPr>
        <w:t xml:space="preserve">bridge_digital_twin_dataset.csv — Source dataset (43,200 rows, 54 columns)</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spacing w:before="120"/>
      <w:jc w:val="right"/>
    </w:pPr>
    <w:r>
      <w:rPr>
        <w:rFonts w:ascii="Arial" w:cs="Arial" w:eastAsia="Arial" w:hAnsi="Arial"/>
        <w:color w:val="595959"/>
        <w:sz w:val="18"/>
        <w:szCs w:val="18"/>
      </w:rPr>
      <w:t xml:space="preserve">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of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after="120"/>
    </w:pPr>
    <w:r>
      <w:rPr>
        <w:rFonts w:ascii="Arial" w:cs="Arial" w:eastAsia="Arial" w:hAnsi="Arial"/>
        <w:b/>
        <w:bCs/>
        <w:color w:val="2E75B6"/>
        <w:sz w:val="18"/>
        <w:szCs w:val="18"/>
      </w:rPr>
      <w:t xml:space="preserve">Structural Health Monitoring — Bridge Digital Twin</w:t>
    </w:r>
    <w:r>
      <w:rPr>
        <w:rFonts w:ascii="Arial" w:cs="Arial" w:eastAsia="Arial" w:hAnsi="Arial"/>
        <w:color w:val="595959"/>
        <w:sz w:val="18"/>
        <w:szCs w:val="18"/>
      </w:rPr>
      <w:t xml:space="preserve">     |     Civil Engineering Project Report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2026-04-23T09:29:24.516Z</dcterms:created>
  <dcterms:modified xsi:type="dcterms:W3CDTF">2026-04-23T09:29:24.517Z</dcterms:modified>
</cp:coreProperties>
</file>

<file path=docProps/custom.xml><?xml version="1.0" encoding="utf-8"?>
<Properties xmlns="http://schemas.openxmlformats.org/officeDocument/2006/custom-properties" xmlns:vt="http://schemas.openxmlformats.org/officeDocument/2006/docPropsVTypes"/>
</file>