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36"/>
        </w:rPr>
        <w:t>SecurePay SME Lending Portal - Stakeholder Memo</w:t>
      </w:r>
    </w:p>
    <w:p>
      <w:pPr>
        <w:jc w:val="center"/>
      </w:pPr>
      <w:r>
        <w:rPr>
          <w:i/>
          <w:color w:val="555555"/>
          <w:sz w:val="20"/>
        </w:rPr>
        <w:t>Source: Product Council, Risk Office, Operations Review | Demo input for BRD Forge</w:t>
      </w:r>
    </w:p>
    <w:p>
      <w:pPr>
        <w:pStyle w:val="Heading1"/>
      </w:pPr>
      <w:r>
        <w:t>Executive Context</w:t>
      </w:r>
    </w:p>
    <w:p>
      <w:r>
        <w:t>SecurePay wants to reduce SME loan application turnaround from several days to less than 24 hours for low-risk cases. The new portal must combine customer self-service, relationship-manager review, risk approval, and document governance into one auditable workflow.</w:t>
      </w:r>
    </w:p>
    <w:p>
      <w:pPr>
        <w:pStyle w:val="Heading1"/>
      </w:pPr>
      <w:r>
        <w:t>Stakeholder Requests</w:t>
      </w:r>
    </w:p>
    <w:p>
      <w:pPr>
        <w:pStyle w:val="ListBullet"/>
      </w:pPr>
      <w:r>
        <w:t>Product wants Google or Microsoft SSO to reduce onboarding friction for SME customers.</w:t>
      </w:r>
    </w:p>
    <w:p>
      <w:pPr>
        <w:pStyle w:val="ListBullet"/>
      </w:pPr>
      <w:r>
        <w:t>Risk wants username and password plus SMS two-factor authentication until SSO vendor review is complete.</w:t>
      </w:r>
    </w:p>
    <w:p>
      <w:pPr>
        <w:pStyle w:val="ListBullet"/>
      </w:pPr>
      <w:r>
        <w:t>Operations wants an internal queue with SLA aging, risk score, missing-document filters, and bulk export.</w:t>
      </w:r>
    </w:p>
    <w:p>
      <w:pPr>
        <w:pStyle w:val="ListBullet"/>
      </w:pPr>
      <w:r>
        <w:t>Legal wants sanction letters blocked until KYC, bank statements, and manual approvals are complete.</w:t>
      </w:r>
    </w:p>
    <w:p>
      <w:pPr>
        <w:pStyle w:val="ListBullet"/>
      </w:pPr>
      <w:r>
        <w:t>Compliance wants document retention for seven years with immutable audit logs.</w:t>
      </w:r>
    </w:p>
    <w:p>
      <w:pPr>
        <w:pStyle w:val="Heading1"/>
      </w:pPr>
      <w:r>
        <w:t>Requirement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</w:tcPr>
          <w:p>
            <w:pPr>
              <w:spacing w:after="6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60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6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60"/>
            </w:pPr>
            <w:r>
              <w:rPr>
                <w:b/>
                <w:sz w:val="18"/>
              </w:rPr>
              <w:t>Risk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SSO requested, but risk team asks for password + SMS only</w:t>
            </w:r>
          </w:p>
        </w:tc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Must Have</w:t>
            </w:r>
          </w:p>
        </w:tc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Policy conflict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Documents</w:t>
            </w:r>
          </w:p>
        </w:tc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PAN, GST, bank statement, identity proof upload and validation</w:t>
            </w:r>
          </w:p>
        </w:tc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Must Have</w:t>
            </w:r>
          </w:p>
        </w:tc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Sensitive data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Workflow</w:t>
            </w:r>
          </w:p>
        </w:tc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Manual approval required above INR 25 lakh</w:t>
            </w:r>
          </w:p>
        </w:tc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Must Have</w:t>
            </w:r>
          </w:p>
        </w:tc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Decision control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Daily export and portfolio-level quality metrics</w:t>
            </w:r>
          </w:p>
        </w:tc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Should Have</w:t>
            </w:r>
          </w:p>
        </w:tc>
        <w:tc>
          <w:tcPr>
            <w:tcW w:type="dxa" w:w="2340"/>
            <w:vAlign w:val="center"/>
          </w:tcPr>
          <w:p>
            <w:pPr>
              <w:spacing w:after="60"/>
            </w:pPr>
            <w:r>
              <w:rPr>
                <w:sz w:val="18"/>
              </w:rPr>
              <w:t>Reporting gap</w:t>
            </w:r>
          </w:p>
        </w:tc>
      </w:tr>
    </w:tbl>
    <w:p>
      <w:pPr>
        <w:pStyle w:val="Heading1"/>
      </w:pPr>
      <w:r>
        <w:t>Acceptance Criteria Draft</w:t>
      </w:r>
    </w:p>
    <w:p>
      <w:pPr>
        <w:pStyle w:val="ListNumber"/>
      </w:pPr>
      <w:r>
        <w:t>Customer cannot submit an application until mandatory KYC documents are uploaded.</w:t>
      </w:r>
    </w:p>
    <w:p>
      <w:pPr>
        <w:pStyle w:val="ListNumber"/>
      </w:pPr>
      <w:r>
        <w:t>System must detect and flag name mismatch between GST certificate and bank statement.</w:t>
      </w:r>
    </w:p>
    <w:p>
      <w:pPr>
        <w:pStyle w:val="ListNumber"/>
      </w:pPr>
      <w:r>
        <w:t>Risk approver must approve applications above INR 25 lakh before offer generation.</w:t>
      </w:r>
    </w:p>
    <w:p>
      <w:pPr>
        <w:pStyle w:val="ListNumber"/>
      </w:pPr>
      <w:r>
        <w:t>Every reviewer action and document download must be visible in audit history.</w:t>
      </w:r>
    </w:p>
    <w:p>
      <w:pPr>
        <w:pStyle w:val="ListNumber"/>
      </w:pPr>
      <w:r>
        <w:t>Generated BRD must include source trace and confidence for each requirement.</w:t>
      </w:r>
    </w:p>
    <w:p>
      <w:pPr>
        <w:pStyle w:val="Heading1"/>
      </w:pPr>
      <w:r>
        <w:t>Open Questions</w:t>
      </w:r>
    </w:p>
    <w:p>
      <w:pPr>
        <w:pStyle w:val="ListBullet"/>
      </w:pPr>
      <w:r>
        <w:t>Should SSO be allowed in phase one or blocked until vendor risk approval?</w:t>
      </w:r>
    </w:p>
    <w:p>
      <w:pPr>
        <w:pStyle w:val="ListBullet"/>
      </w:pPr>
      <w:r>
        <w:t>Which events must trigger customer notification?</w:t>
      </w:r>
    </w:p>
    <w:p>
      <w:pPr>
        <w:pStyle w:val="ListBullet"/>
      </w:pPr>
      <w:r>
        <w:t>Should BigQuery store full BRD JSON or only analytics-ready requirement facts?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