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27490" w14:textId="77777777" w:rsidR="00941786" w:rsidRPr="00941786" w:rsidRDefault="00941786" w:rsidP="00941786">
      <w:pPr>
        <w:rPr>
          <w:b/>
          <w:bCs/>
        </w:rPr>
      </w:pPr>
      <w:r w:rsidRPr="00941786">
        <w:rPr>
          <w:b/>
          <w:bCs/>
        </w:rPr>
        <w:t>Future Enhancements</w:t>
      </w:r>
    </w:p>
    <w:p w14:paraId="422EA87B" w14:textId="77777777" w:rsidR="00941786" w:rsidRPr="00941786" w:rsidRDefault="00941786" w:rsidP="00941786">
      <w:r w:rsidRPr="00941786">
        <w:t>While the proposed hybrid model integrating Convolutional Neural Networks (CNN), Transformer-based attention, and Extreme Gradient Boosting (XGBoost) demonstrates significant improvements over existing approaches, several opportunities remain for further enhancement and exploration. These future directions aim to improve model accuracy, scalability, interpretability, and real-world applicability in non-invasive glucose monitoring systems.</w:t>
      </w:r>
    </w:p>
    <w:p w14:paraId="13024D61" w14:textId="77777777" w:rsidR="00941786" w:rsidRPr="00941786" w:rsidRDefault="00941786" w:rsidP="00941786">
      <w:r w:rsidRPr="00941786">
        <w:t>One important area for future work is the incorporation of advanced deep learning architectures specifically designed for time-series data. Although the current model effectively processes high-dimensional signal features, extending the framework to include architectures such as Temporal Convolutional Networks (TCN), Long Short-Term Memory (LSTM), or hybrid CNN-LSTM models could further enhance the model’s ability to capture temporal dependencies in sequential biosignal data. Additionally, exploring more advanced Transformer variants, such as lightweight or efficient Transformers, can help reduce computational complexity while maintaining high performance.</w:t>
      </w:r>
    </w:p>
    <w:p w14:paraId="5A5F3BC8" w14:textId="77777777" w:rsidR="00941786" w:rsidRPr="00941786" w:rsidRDefault="00941786" w:rsidP="00941786">
      <w:r w:rsidRPr="00941786">
        <w:t>Another promising direction is the integration of explainable artificial intelligence (XAI) techniques. In healthcare applications, model interpretability is crucial for gaining trust from medical professionals and ensuring transparency in decision-making. Techniques such as SHAP (SHapley Additive Explanations) and LIME (Local Interpretable Model-agnostic Explanations) can be incorporated to identify the most influential signal features contributing to glucose prediction. This would not only improve model transparency but also provide valuable insights into physiological patterns related to glucose levels.</w:t>
      </w:r>
    </w:p>
    <w:p w14:paraId="128554AE" w14:textId="77777777" w:rsidR="00941786" w:rsidRPr="00941786" w:rsidRDefault="00941786" w:rsidP="00941786">
      <w:r w:rsidRPr="00941786">
        <w:t>Future research can also focus on improving dataset diversity and scalability. The performance of machine learning models is highly dependent on the quality and diversity of training data. Expanding the dataset to include larger and more heterogeneous populations, varying physiological conditions, and real-world sensor data can significantly enhance the generalization capability of the model. Additionally, incorporating multimodal data, such as combining optical signals with physiological parameters (e.g., heart rate, temperature, or activity level), may further improve prediction accuracy.</w:t>
      </w:r>
    </w:p>
    <w:p w14:paraId="200E55B4" w14:textId="77777777" w:rsidR="00941786" w:rsidRPr="00941786" w:rsidRDefault="00941786" w:rsidP="00941786">
      <w:r w:rsidRPr="00941786">
        <w:t>Another area of enhancement involves optimizing the model for real-time and edge deployment. Although the proposed hybrid model achieves high accuracy, its computational complexity may limit its application in resource-constrained environments such as wearable devices. Future work can explore model compression techniques, including pruning, quantization, and knowledge distillation, to reduce model size and inference time while preserving performance. This would enable efficient deployment in portable and IoT-based healthcare systems.</w:t>
      </w:r>
    </w:p>
    <w:p w14:paraId="60FAA099" w14:textId="77777777" w:rsidR="00941786" w:rsidRPr="00941786" w:rsidRDefault="00941786" w:rsidP="00941786">
      <w:r w:rsidRPr="00941786">
        <w:t>Furthermore, adaptive and personalized modeling approaches can be investigated. Since glucose metabolism varies across individuals, developing personalized models that adapt to user-specific patterns can significantly improve prediction accuracy. Techniques such as transfer learning and online learning can be utilized to continuously update the model based on new data, ensuring better adaptability to individual physiological variations.</w:t>
      </w:r>
    </w:p>
    <w:p w14:paraId="09EFEEFE" w14:textId="77777777" w:rsidR="00941786" w:rsidRPr="00941786" w:rsidRDefault="00941786" w:rsidP="00941786">
      <w:r w:rsidRPr="00941786">
        <w:lastRenderedPageBreak/>
        <w:t>Lastly, future studies can explore the integration of the proposed system into a complete healthcare ecosystem. This includes combining the predictive model with IoT-enabled devices, cloud-based platforms, and mobile applications for continuous monitoring, data visualization, and real-time feedback. Such integration would facilitate large-scale deployment and provide users with actionable insights for better health management.</w:t>
      </w:r>
    </w:p>
    <w:p w14:paraId="54B03ED8" w14:textId="77777777" w:rsidR="00941786" w:rsidRPr="00941786" w:rsidRDefault="00941786" w:rsidP="00941786">
      <w:r w:rsidRPr="00941786">
        <w:t>In summary, future enhancements should focus on advancing model architectures, improving interpretability, expanding datasets, optimizing computational efficiency, and enabling real-world deployment. These improvements will further strengthen the proposed system and contribute to the development of reliable, scalable, and intelligent non-invasive glucose monitoring solutions.</w:t>
      </w:r>
    </w:p>
    <w:p w14:paraId="3AAB3AE9"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F4FF6"/>
    <w:rsid w:val="000859F2"/>
    <w:rsid w:val="00441F83"/>
    <w:rsid w:val="004F0CDD"/>
    <w:rsid w:val="00505E7F"/>
    <w:rsid w:val="0062131E"/>
    <w:rsid w:val="006D32ED"/>
    <w:rsid w:val="00941786"/>
    <w:rsid w:val="00BF3AFA"/>
    <w:rsid w:val="00FF4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BE09"/>
  <w15:chartTrackingRefBased/>
  <w15:docId w15:val="{A697FD0E-4E55-47CE-A368-BE31ACB6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FF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F4FF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F4FF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F4FF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F4FF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F4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FF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F4FF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F4FF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F4FF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F4FF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F4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FF6"/>
    <w:rPr>
      <w:rFonts w:eastAsiaTheme="majorEastAsia" w:cstheme="majorBidi"/>
      <w:color w:val="272727" w:themeColor="text1" w:themeTint="D8"/>
    </w:rPr>
  </w:style>
  <w:style w:type="paragraph" w:styleId="Title">
    <w:name w:val="Title"/>
    <w:basedOn w:val="Normal"/>
    <w:next w:val="Normal"/>
    <w:link w:val="TitleChar"/>
    <w:uiPriority w:val="10"/>
    <w:qFormat/>
    <w:rsid w:val="00FF4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F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F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4FF6"/>
    <w:rPr>
      <w:i/>
      <w:iCs/>
      <w:color w:val="404040" w:themeColor="text1" w:themeTint="BF"/>
    </w:rPr>
  </w:style>
  <w:style w:type="paragraph" w:styleId="ListParagraph">
    <w:name w:val="List Paragraph"/>
    <w:basedOn w:val="Normal"/>
    <w:uiPriority w:val="34"/>
    <w:qFormat/>
    <w:rsid w:val="00FF4FF6"/>
    <w:pPr>
      <w:ind w:left="720"/>
      <w:contextualSpacing/>
    </w:pPr>
  </w:style>
  <w:style w:type="character" w:styleId="IntenseEmphasis">
    <w:name w:val="Intense Emphasis"/>
    <w:basedOn w:val="DefaultParagraphFont"/>
    <w:uiPriority w:val="21"/>
    <w:qFormat/>
    <w:rsid w:val="00FF4FF6"/>
    <w:rPr>
      <w:i/>
      <w:iCs/>
      <w:color w:val="365F91" w:themeColor="accent1" w:themeShade="BF"/>
    </w:rPr>
  </w:style>
  <w:style w:type="paragraph" w:styleId="IntenseQuote">
    <w:name w:val="Intense Quote"/>
    <w:basedOn w:val="Normal"/>
    <w:next w:val="Normal"/>
    <w:link w:val="IntenseQuoteChar"/>
    <w:uiPriority w:val="30"/>
    <w:qFormat/>
    <w:rsid w:val="00FF4F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4FF6"/>
    <w:rPr>
      <w:i/>
      <w:iCs/>
      <w:color w:val="365F91" w:themeColor="accent1" w:themeShade="BF"/>
    </w:rPr>
  </w:style>
  <w:style w:type="character" w:styleId="IntenseReference">
    <w:name w:val="Intense Reference"/>
    <w:basedOn w:val="DefaultParagraphFont"/>
    <w:uiPriority w:val="32"/>
    <w:qFormat/>
    <w:rsid w:val="00FF4FF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616</Words>
  <Characters>3516</Characters>
  <Application>Microsoft Office Word</Application>
  <DocSecurity>0</DocSecurity>
  <Lines>29</Lines>
  <Paragraphs>8</Paragraphs>
  <ScaleCrop>false</ScaleCrop>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4</cp:revision>
  <dcterms:created xsi:type="dcterms:W3CDTF">2026-03-15T16:47:00Z</dcterms:created>
  <dcterms:modified xsi:type="dcterms:W3CDTF">2026-03-22T13:51:00Z</dcterms:modified>
</cp:coreProperties>
</file>